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40F1" w14:textId="56788D6A" w:rsidR="00EC7B02" w:rsidRPr="009A704E" w:rsidRDefault="008E4868">
      <w:pPr>
        <w:rPr>
          <w:b/>
          <w:bCs/>
          <w:sz w:val="28"/>
          <w:szCs w:val="28"/>
          <w:lang w:val="fr-FR"/>
        </w:rPr>
      </w:pPr>
      <w:r w:rsidRPr="009A704E">
        <w:rPr>
          <w:b/>
          <w:bCs/>
          <w:sz w:val="28"/>
          <w:szCs w:val="28"/>
          <w:lang w:val="fr-FR"/>
        </w:rPr>
        <w:t>Convention Education Prioritaire (CEP) de Sciences-Po Paris</w:t>
      </w:r>
      <w:r w:rsidR="009A704E">
        <w:rPr>
          <w:b/>
          <w:bCs/>
          <w:sz w:val="28"/>
          <w:szCs w:val="28"/>
          <w:lang w:val="fr-FR"/>
        </w:rPr>
        <w:t xml:space="preserve"> (programme Egalité des Chances)</w:t>
      </w:r>
    </w:p>
    <w:p w14:paraId="7FDAF04A" w14:textId="194CFB51" w:rsidR="008E4868" w:rsidRDefault="008E4868">
      <w:pPr>
        <w:rPr>
          <w:lang w:val="fr-FR"/>
        </w:rPr>
      </w:pPr>
      <w:r>
        <w:rPr>
          <w:lang w:val="fr-FR"/>
        </w:rPr>
        <w:t>Lancée début des années 2000, le dispositif CEP s’appuie sur un ensemble de mesures d’accompagnement, du lycée au diplôme de Sciences-Po.</w:t>
      </w:r>
    </w:p>
    <w:p w14:paraId="6C975728" w14:textId="34667891" w:rsidR="008E4868" w:rsidRPr="008E4868" w:rsidRDefault="008E4868">
      <w:pPr>
        <w:rPr>
          <w:b/>
          <w:bCs/>
          <w:lang w:val="fr-FR"/>
        </w:rPr>
      </w:pPr>
      <w:r w:rsidRPr="008E4868">
        <w:rPr>
          <w:b/>
          <w:bCs/>
          <w:lang w:val="fr-FR"/>
        </w:rPr>
        <w:t>Au lycée</w:t>
      </w:r>
    </w:p>
    <w:p w14:paraId="1B713851" w14:textId="67524139" w:rsidR="008E4868" w:rsidRDefault="008E4868">
      <w:pPr>
        <w:rPr>
          <w:lang w:val="fr-FR"/>
        </w:rPr>
      </w:pPr>
      <w:r>
        <w:rPr>
          <w:lang w:val="fr-FR"/>
        </w:rPr>
        <w:t>L’accompagnement commence au Lycée. 198 lycées sont partenaires du programmes, dont 32 en Outre-Mer. La convention couvre tant des zones urbaines que des territoires ruraux</w:t>
      </w:r>
      <w:r w:rsidR="009D715D">
        <w:rPr>
          <w:lang w:val="fr-FR"/>
        </w:rPr>
        <w:t xml:space="preserve"> et désindustrialisés</w:t>
      </w:r>
      <w:r>
        <w:rPr>
          <w:lang w:val="fr-FR"/>
        </w:rPr>
        <w:t xml:space="preserve">. </w:t>
      </w:r>
    </w:p>
    <w:p w14:paraId="0F53C484" w14:textId="62F11FB5" w:rsidR="008E4868" w:rsidRDefault="008E4868">
      <w:pPr>
        <w:rPr>
          <w:lang w:val="fr-FR"/>
        </w:rPr>
      </w:pPr>
      <w:r>
        <w:rPr>
          <w:lang w:val="fr-FR"/>
        </w:rPr>
        <w:t>Des ateliers de renforcement pédagogique sont organisés dans l’ensemble des lycées conventionnés. Chaque année, ce sont des milliers d’élèves qui en bénéficient.</w:t>
      </w:r>
    </w:p>
    <w:p w14:paraId="3D68B2A8" w14:textId="0E3EB96A" w:rsidR="008E4868" w:rsidRPr="009D715D" w:rsidRDefault="008E4868">
      <w:pPr>
        <w:rPr>
          <w:b/>
          <w:bCs/>
          <w:lang w:val="fr-FR"/>
        </w:rPr>
      </w:pPr>
      <w:r w:rsidRPr="009D715D">
        <w:rPr>
          <w:b/>
          <w:bCs/>
          <w:lang w:val="fr-FR"/>
        </w:rPr>
        <w:t>A Sciences-Po</w:t>
      </w:r>
    </w:p>
    <w:p w14:paraId="3633C67B" w14:textId="2BD31170" w:rsidR="008E4868" w:rsidRDefault="008E4868">
      <w:pPr>
        <w:rPr>
          <w:lang w:val="fr-FR"/>
        </w:rPr>
      </w:pPr>
      <w:r>
        <w:rPr>
          <w:lang w:val="fr-FR"/>
        </w:rPr>
        <w:t>Chaque année, une centaine d’étudiants sont admis à Sciences-Po via la filière CEP. Ils bénéficient à partir de là d’un dispositif d’aide :</w:t>
      </w:r>
    </w:p>
    <w:p w14:paraId="42B28832" w14:textId="45A9B28C" w:rsidR="008E4868" w:rsidRDefault="008E4868" w:rsidP="008E486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Des bourses</w:t>
      </w:r>
      <w:r w:rsidR="006E139B">
        <w:rPr>
          <w:lang w:val="fr-FR"/>
        </w:rPr>
        <w:t xml:space="preserve"> leur permettant de se consacrer intégralement à leurs études</w:t>
      </w:r>
    </w:p>
    <w:p w14:paraId="453A0312" w14:textId="061A2279" w:rsidR="006E139B" w:rsidRDefault="006E139B" w:rsidP="008E486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Un renforcement pédagogique intensif la première année</w:t>
      </w:r>
    </w:p>
    <w:p w14:paraId="7A404181" w14:textId="04FE006B" w:rsidR="006E139B" w:rsidRDefault="006E139B" w:rsidP="008E4868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Du tutorat les années suivantes et un programme de mentorat v</w:t>
      </w:r>
      <w:r w:rsidR="009D715D">
        <w:rPr>
          <w:lang w:val="fr-FR"/>
        </w:rPr>
        <w:t>i</w:t>
      </w:r>
      <w:r>
        <w:rPr>
          <w:lang w:val="fr-FR"/>
        </w:rPr>
        <w:t>sant une cinquantaine d’étudiants</w:t>
      </w:r>
      <w:r w:rsidR="009D715D">
        <w:rPr>
          <w:lang w:val="fr-FR"/>
        </w:rPr>
        <w:t xml:space="preserve">. Le mentorat est </w:t>
      </w:r>
      <w:proofErr w:type="gramStart"/>
      <w:r w:rsidR="009D715D">
        <w:rPr>
          <w:lang w:val="fr-FR"/>
        </w:rPr>
        <w:t>assurés</w:t>
      </w:r>
      <w:proofErr w:type="gramEnd"/>
      <w:r w:rsidR="009D715D">
        <w:rPr>
          <w:lang w:val="fr-FR"/>
        </w:rPr>
        <w:t xml:space="preserve"> par des collaborateurs d’entreprises partenaires.</w:t>
      </w:r>
    </w:p>
    <w:p w14:paraId="271A73F3" w14:textId="4484F460" w:rsidR="009D715D" w:rsidRPr="0030707B" w:rsidRDefault="009D715D" w:rsidP="009D715D">
      <w:pPr>
        <w:rPr>
          <w:b/>
          <w:bCs/>
          <w:lang w:val="fr-FR"/>
        </w:rPr>
      </w:pPr>
      <w:r w:rsidRPr="0030707B">
        <w:rPr>
          <w:b/>
          <w:bCs/>
          <w:lang w:val="fr-FR"/>
        </w:rPr>
        <w:t>Ampleur du programme</w:t>
      </w:r>
    </w:p>
    <w:p w14:paraId="68F4403E" w14:textId="339438E3" w:rsidR="009D715D" w:rsidRDefault="009D715D" w:rsidP="009D715D">
      <w:pPr>
        <w:rPr>
          <w:lang w:val="fr-FR"/>
        </w:rPr>
      </w:pPr>
      <w:r>
        <w:rPr>
          <w:lang w:val="fr-FR"/>
        </w:rPr>
        <w:t>En vingt-et-une promotion (2023 exclue), le programme a permis à 2800 étudiants d’intégrer Sciences-Po Paris. En 2022, ils étaient cent trente</w:t>
      </w:r>
      <w:r w:rsidR="0030707B">
        <w:rPr>
          <w:lang w:val="fr-FR"/>
        </w:rPr>
        <w:t xml:space="preserve"> sur 2028 étudiants</w:t>
      </w:r>
      <w:r>
        <w:rPr>
          <w:lang w:val="fr-FR"/>
        </w:rPr>
        <w:t>.</w:t>
      </w:r>
      <w:r w:rsidR="0030707B">
        <w:rPr>
          <w:lang w:val="fr-FR"/>
        </w:rPr>
        <w:t xml:space="preserve"> Sciences-Po vise à intégrer 230 étudiants par an via la voie CEP à horizon 2030.</w:t>
      </w:r>
    </w:p>
    <w:p w14:paraId="179D60F4" w14:textId="58C87406" w:rsidR="0030707B" w:rsidRPr="0030707B" w:rsidRDefault="0030707B" w:rsidP="009D715D">
      <w:pPr>
        <w:rPr>
          <w:b/>
          <w:bCs/>
          <w:lang w:val="fr-FR"/>
        </w:rPr>
      </w:pPr>
      <w:r w:rsidRPr="0030707B">
        <w:rPr>
          <w:b/>
          <w:bCs/>
          <w:lang w:val="fr-FR"/>
        </w:rPr>
        <w:t>Résultats</w:t>
      </w:r>
    </w:p>
    <w:p w14:paraId="3814EB2E" w14:textId="66E4C425" w:rsidR="0030707B" w:rsidRDefault="0030707B" w:rsidP="009D715D">
      <w:pPr>
        <w:rPr>
          <w:lang w:val="fr-FR"/>
        </w:rPr>
      </w:pPr>
      <w:r>
        <w:rPr>
          <w:lang w:val="fr-FR"/>
        </w:rPr>
        <w:t xml:space="preserve">A la sortie de Sciences-Po, la note moyenne des étudiants issus du programme CEP est proche de celle de l’ensemble des élèves, bien que légèrement plus faible. </w:t>
      </w:r>
    </w:p>
    <w:p w14:paraId="1663CD57" w14:textId="3F454B4C" w:rsidR="0030707B" w:rsidRDefault="0030707B" w:rsidP="009D715D">
      <w:pPr>
        <w:rPr>
          <w:lang w:val="fr-FR"/>
        </w:rPr>
      </w:pPr>
      <w:r>
        <w:rPr>
          <w:lang w:val="fr-FR"/>
        </w:rPr>
        <w:t>Leur insertion professionnelle est semblable à celle des autres diplômés de Sciences-Po et 81% sont en poste moins de trois mois après leur diplomation.</w:t>
      </w:r>
    </w:p>
    <w:p w14:paraId="2649144A" w14:textId="3AFAF487" w:rsidR="00FE731A" w:rsidRDefault="00FE731A" w:rsidP="009D715D">
      <w:pPr>
        <w:rPr>
          <w:lang w:val="fr-FR"/>
        </w:rPr>
      </w:pPr>
      <w:r>
        <w:rPr>
          <w:lang w:val="fr-FR"/>
        </w:rPr>
        <w:t xml:space="preserve">D’après Cyril </w:t>
      </w:r>
      <w:proofErr w:type="spellStart"/>
      <w:r>
        <w:rPr>
          <w:lang w:val="fr-FR"/>
        </w:rPr>
        <w:t>Delhay</w:t>
      </w:r>
      <w:proofErr w:type="spellEnd"/>
      <w:r>
        <w:rPr>
          <w:lang w:val="fr-FR"/>
        </w:rPr>
        <w:t>, un des promoteurs du programme à son lancement, les succès les plus fulgurants sont ceux des étudiants issus du programme CEP.</w:t>
      </w:r>
    </w:p>
    <w:p w14:paraId="58A403B9" w14:textId="786FB152" w:rsidR="0030707B" w:rsidRPr="00FE731A" w:rsidRDefault="00FE731A" w:rsidP="009D715D">
      <w:pPr>
        <w:rPr>
          <w:b/>
          <w:bCs/>
          <w:lang w:val="fr-FR"/>
        </w:rPr>
      </w:pPr>
      <w:r w:rsidRPr="00FE731A">
        <w:rPr>
          <w:b/>
          <w:bCs/>
          <w:lang w:val="fr-FR"/>
        </w:rPr>
        <w:t>Emulation</w:t>
      </w:r>
    </w:p>
    <w:p w14:paraId="2EC236F4" w14:textId="4393264C" w:rsidR="00FE731A" w:rsidRDefault="00FE731A" w:rsidP="009D715D">
      <w:pPr>
        <w:rPr>
          <w:lang w:val="fr-FR"/>
        </w:rPr>
      </w:pPr>
      <w:r>
        <w:rPr>
          <w:lang w:val="fr-FR"/>
        </w:rPr>
        <w:t>IEP Bordeau a lancé un programme comparable sur la région Aquitaine, en partenariat avec le Conseil régional.</w:t>
      </w:r>
    </w:p>
    <w:p w14:paraId="5EE0FAF2" w14:textId="6BC2F632" w:rsidR="00FE731A" w:rsidRPr="00FE731A" w:rsidRDefault="00FE731A" w:rsidP="009D715D">
      <w:pPr>
        <w:rPr>
          <w:b/>
          <w:bCs/>
          <w:lang w:val="fr-FR"/>
        </w:rPr>
      </w:pPr>
      <w:r w:rsidRPr="00FE731A">
        <w:rPr>
          <w:b/>
          <w:bCs/>
          <w:lang w:val="fr-FR"/>
        </w:rPr>
        <w:t>Quelles orientations pour l’Ecole des Ponts ?</w:t>
      </w:r>
    </w:p>
    <w:p w14:paraId="36B092B4" w14:textId="1FD6EECB" w:rsidR="00FE731A" w:rsidRDefault="00FE731A" w:rsidP="009D715D">
      <w:pPr>
        <w:rPr>
          <w:lang w:val="fr-FR"/>
        </w:rPr>
      </w:pPr>
      <w:r>
        <w:rPr>
          <w:lang w:val="fr-FR"/>
        </w:rPr>
        <w:t>La filière de recrutement menant à l’Ecole des Ponts permet-elle à l’école d’atteindre le niveau de diversité de la moyenne des écoles d’ingénieurs (22.5% d’étudiants boursiers), de celui de Sciences-Po Paris (30%) ou de celui de l’ensemble de l’enseignement supérieur français (38%) ?</w:t>
      </w:r>
    </w:p>
    <w:p w14:paraId="6631B201" w14:textId="624ECB16" w:rsidR="00FE731A" w:rsidRDefault="00FE731A" w:rsidP="009D715D">
      <w:pPr>
        <w:rPr>
          <w:lang w:val="fr-FR"/>
        </w:rPr>
      </w:pPr>
      <w:r>
        <w:rPr>
          <w:lang w:val="fr-FR"/>
        </w:rPr>
        <w:lastRenderedPageBreak/>
        <w:t>Si ce n’est pas le cas, quelles actions entreprendre ?</w:t>
      </w:r>
    </w:p>
    <w:p w14:paraId="29440E86" w14:textId="2F7C0C1E" w:rsidR="00FE731A" w:rsidRDefault="00FE731A" w:rsidP="00FE731A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Filières de recrutement alternatives (quels taux d’élèves boursiers) ?</w:t>
      </w:r>
    </w:p>
    <w:p w14:paraId="554322C5" w14:textId="78214250" w:rsidR="00FE731A" w:rsidRDefault="00FE731A" w:rsidP="00FE731A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Collaborer avec l’ensemble de la filière Prépa pour aller vers une diversification des recrutements ?</w:t>
      </w:r>
    </w:p>
    <w:p w14:paraId="461CC29F" w14:textId="4C6089DD" w:rsidR="00FE731A" w:rsidRDefault="00FE731A" w:rsidP="00FE731A">
      <w:pPr>
        <w:pStyle w:val="Paragraphedeliste"/>
        <w:numPr>
          <w:ilvl w:val="0"/>
          <w:numId w:val="1"/>
        </w:numPr>
        <w:rPr>
          <w:lang w:val="fr-FR"/>
        </w:rPr>
      </w:pPr>
      <w:r>
        <w:rPr>
          <w:lang w:val="fr-FR"/>
        </w:rPr>
        <w:t>Proactivement réserver les x (3 ?) dernières places du classement à l’entrée de l’école à des élèves boursiers ?</w:t>
      </w:r>
    </w:p>
    <w:p w14:paraId="405773E0" w14:textId="0C6764A3" w:rsidR="00FE731A" w:rsidRPr="00FE731A" w:rsidRDefault="00FE731A" w:rsidP="00FE731A">
      <w:pPr>
        <w:rPr>
          <w:b/>
          <w:bCs/>
          <w:lang w:val="fr-FR"/>
        </w:rPr>
      </w:pPr>
      <w:r w:rsidRPr="00FE731A">
        <w:rPr>
          <w:b/>
          <w:bCs/>
          <w:lang w:val="fr-FR"/>
        </w:rPr>
        <w:t>Actions à mener par Ponts Alumni ?</w:t>
      </w:r>
    </w:p>
    <w:p w14:paraId="6A4523E9" w14:textId="093C3DF8" w:rsidR="0030707B" w:rsidRPr="009D715D" w:rsidRDefault="00FE731A" w:rsidP="009D715D">
      <w:pPr>
        <w:rPr>
          <w:lang w:val="fr-FR"/>
        </w:rPr>
      </w:pPr>
      <w:r>
        <w:rPr>
          <w:lang w:val="fr-FR"/>
        </w:rPr>
        <w:t xml:space="preserve">Lancer une réflexion structurée </w:t>
      </w:r>
      <w:r w:rsidR="000B3657">
        <w:rPr>
          <w:lang w:val="fr-FR"/>
        </w:rPr>
        <w:t xml:space="preserve">sur les douze prochains mois, impliquant </w:t>
      </w:r>
      <w:r>
        <w:rPr>
          <w:lang w:val="fr-FR"/>
        </w:rPr>
        <w:t xml:space="preserve">l’Ecole et la communauté des </w:t>
      </w:r>
      <w:proofErr w:type="spellStart"/>
      <w:r>
        <w:rPr>
          <w:lang w:val="fr-FR"/>
        </w:rPr>
        <w:t>Alumnis</w:t>
      </w:r>
      <w:proofErr w:type="spellEnd"/>
      <w:r>
        <w:rPr>
          <w:lang w:val="fr-FR"/>
        </w:rPr>
        <w:t xml:space="preserve"> pour </w:t>
      </w:r>
      <w:r w:rsidR="000B3657">
        <w:rPr>
          <w:lang w:val="fr-FR"/>
        </w:rPr>
        <w:t>fixer des objectifs chiffrés de diversité au sein de l’école et identifier les actions à mener pour atteindre ces objectifs.</w:t>
      </w:r>
    </w:p>
    <w:sectPr w:rsidR="0030707B" w:rsidRPr="009D715D" w:rsidSect="006B4D05">
      <w:pgSz w:w="11906" w:h="16838" w:code="9"/>
      <w:pgMar w:top="1440" w:right="1800" w:bottom="1440" w:left="1800" w:header="562" w:footer="706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32E97"/>
    <w:multiLevelType w:val="hybridMultilevel"/>
    <w:tmpl w:val="AC387C10"/>
    <w:lvl w:ilvl="0" w:tplc="A5AC51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2482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6B"/>
    <w:rsid w:val="000B1836"/>
    <w:rsid w:val="000B3657"/>
    <w:rsid w:val="0030707B"/>
    <w:rsid w:val="004A2D5B"/>
    <w:rsid w:val="006B4D05"/>
    <w:rsid w:val="006E139B"/>
    <w:rsid w:val="008E4868"/>
    <w:rsid w:val="009A704E"/>
    <w:rsid w:val="009D715D"/>
    <w:rsid w:val="00EC7B02"/>
    <w:rsid w:val="00F4426B"/>
    <w:rsid w:val="00FE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B667"/>
  <w15:chartTrackingRefBased/>
  <w15:docId w15:val="{68CB70B1-D364-490B-B88F-6B6C578B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Lamis Aljounaidi</dc:creator>
  <cp:keywords/>
  <dc:description/>
  <cp:lastModifiedBy>Pierre Vidailhet</cp:lastModifiedBy>
  <cp:revision>2</cp:revision>
  <dcterms:created xsi:type="dcterms:W3CDTF">2023-10-12T15:21:00Z</dcterms:created>
  <dcterms:modified xsi:type="dcterms:W3CDTF">2023-10-12T15:21:00Z</dcterms:modified>
</cp:coreProperties>
</file>