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FF126" w14:textId="77777777" w:rsidR="00456A6A" w:rsidRDefault="001E6AA8">
      <w:pPr>
        <w:rPr>
          <w:rFonts w:ascii="Tahoma" w:hAnsi="Tahoma" w:cs="Tahoma"/>
          <w:i/>
          <w:color w:val="943634"/>
          <w:spacing w:val="40"/>
          <w:sz w:val="96"/>
          <w:szCs w:val="96"/>
        </w:rPr>
      </w:pPr>
      <w:bookmarkStart w:id="0" w:name="_GoBack"/>
      <w:bookmarkEnd w:id="0"/>
      <w:r>
        <w:rPr>
          <w:rFonts w:ascii="Tahoma" w:hAnsi="Tahoma" w:cs="Tahoma"/>
          <w:i/>
          <w:color w:val="943634"/>
          <w:spacing w:val="40"/>
          <w:sz w:val="96"/>
          <w:szCs w:val="96"/>
        </w:rPr>
        <w:t>SAIPC</w:t>
      </w:r>
    </w:p>
    <w:p w14:paraId="7D62EDDB" w14:textId="77777777" w:rsidR="00456A6A" w:rsidRDefault="001E6AA8">
      <w:pPr>
        <w:spacing w:before="100" w:line="192" w:lineRule="auto"/>
        <w:ind w:left="142" w:right="74" w:hanging="142"/>
        <w:rPr>
          <w:rFonts w:eastAsia="Times New Roman"/>
          <w:color w:val="000000"/>
          <w:sz w:val="20"/>
          <w:szCs w:val="20"/>
        </w:rPr>
      </w:pPr>
      <w:r>
        <w:rPr>
          <w:rFonts w:eastAsia="Times New Roman"/>
          <w:color w:val="000000"/>
          <w:sz w:val="20"/>
          <w:szCs w:val="20"/>
        </w:rPr>
        <w:t xml:space="preserve">Association reconnue d'utilité publique </w:t>
      </w:r>
    </w:p>
    <w:p w14:paraId="574BED75" w14:textId="77777777" w:rsidR="00456A6A" w:rsidRDefault="001E6AA8">
      <w:pPr>
        <w:spacing w:before="100"/>
        <w:rPr>
          <w:rFonts w:asciiTheme="minorHAnsi" w:eastAsia="Times New Roman" w:hAnsiTheme="minorHAnsi" w:cstheme="minorBidi"/>
          <w:color w:val="000000"/>
          <w:sz w:val="20"/>
          <w:szCs w:val="20"/>
        </w:rPr>
      </w:pPr>
      <w:r>
        <w:rPr>
          <w:rFonts w:eastAsia="Times New Roman"/>
          <w:color w:val="000000"/>
          <w:sz w:val="20"/>
          <w:szCs w:val="20"/>
        </w:rPr>
        <w:t>Siège social : 42 rue Boissière 75116, Paris</w:t>
      </w:r>
    </w:p>
    <w:p w14:paraId="539BADC1" w14:textId="325E3B69" w:rsidR="00456A6A" w:rsidRPr="006D3FFA" w:rsidRDefault="001E6AA8" w:rsidP="006D3FFA">
      <w:pPr>
        <w:pStyle w:val="Sansinterligne"/>
        <w:spacing w:before="240"/>
        <w:rPr>
          <w:rFonts w:asciiTheme="minorHAnsi" w:eastAsia="Times New Roman" w:hAnsiTheme="minorHAnsi" w:cstheme="minorBidi"/>
          <w:sz w:val="20"/>
          <w:szCs w:val="20"/>
        </w:rPr>
      </w:pPr>
      <w:r>
        <w:rPr>
          <w:rFonts w:asciiTheme="minorHAnsi" w:eastAsia="Times New Roman" w:hAnsiTheme="minorHAnsi" w:cstheme="minorBidi"/>
          <w:sz w:val="20"/>
          <w:szCs w:val="20"/>
        </w:rPr>
        <w:t>01 53 63 32 80</w:t>
      </w:r>
    </w:p>
    <w:p w14:paraId="2525D2F7" w14:textId="2384B89B" w:rsidR="00456A6A" w:rsidRDefault="00716C76" w:rsidP="006D3FFA">
      <w:pPr>
        <w:pStyle w:val="NormalWeb"/>
        <w:spacing w:before="280" w:after="280"/>
        <w:jc w:val="right"/>
        <w:rPr>
          <w:rFonts w:asciiTheme="minorHAnsi" w:hAnsiTheme="minorHAnsi" w:cstheme="minorHAnsi"/>
          <w:sz w:val="22"/>
          <w:szCs w:val="22"/>
        </w:rPr>
      </w:pPr>
      <w:r>
        <w:rPr>
          <w:rFonts w:asciiTheme="minorHAnsi" w:hAnsiTheme="minorHAnsi" w:cstheme="minorHAnsi"/>
          <w:sz w:val="22"/>
          <w:szCs w:val="22"/>
        </w:rPr>
        <w:t xml:space="preserve">Paris, le </w:t>
      </w:r>
      <w:r w:rsidR="001A697C">
        <w:rPr>
          <w:rFonts w:asciiTheme="minorHAnsi" w:hAnsiTheme="minorHAnsi" w:cstheme="minorHAnsi"/>
          <w:sz w:val="22"/>
          <w:szCs w:val="22"/>
        </w:rPr>
        <w:t>1</w:t>
      </w:r>
      <w:r w:rsidR="00D81CF9">
        <w:rPr>
          <w:rFonts w:asciiTheme="minorHAnsi" w:hAnsiTheme="minorHAnsi" w:cstheme="minorHAnsi"/>
          <w:sz w:val="22"/>
          <w:szCs w:val="22"/>
        </w:rPr>
        <w:t>3</w:t>
      </w:r>
      <w:r w:rsidR="006D3FFA">
        <w:rPr>
          <w:rFonts w:asciiTheme="minorHAnsi" w:hAnsiTheme="minorHAnsi" w:cstheme="minorHAnsi"/>
          <w:sz w:val="22"/>
          <w:szCs w:val="22"/>
        </w:rPr>
        <w:t xml:space="preserve"> juin</w:t>
      </w:r>
      <w:r w:rsidR="00F55A6F">
        <w:rPr>
          <w:rFonts w:asciiTheme="minorHAnsi" w:hAnsiTheme="minorHAnsi" w:cstheme="minorHAnsi"/>
          <w:sz w:val="22"/>
          <w:szCs w:val="22"/>
        </w:rPr>
        <w:t xml:space="preserve"> 2023</w:t>
      </w:r>
    </w:p>
    <w:p w14:paraId="371B0C5F" w14:textId="3AA86533" w:rsidR="00456A6A" w:rsidRDefault="001E6AA8">
      <w:pPr>
        <w:pStyle w:val="NormalWeb"/>
        <w:spacing w:before="280" w:after="280"/>
        <w:jc w:val="center"/>
        <w:rPr>
          <w:rFonts w:asciiTheme="minorHAnsi" w:hAnsiTheme="minorHAnsi" w:cstheme="minorHAnsi"/>
          <w:b/>
          <w:sz w:val="28"/>
          <w:szCs w:val="22"/>
        </w:rPr>
      </w:pPr>
      <w:r>
        <w:rPr>
          <w:rFonts w:asciiTheme="minorHAnsi" w:hAnsiTheme="minorHAnsi" w:cstheme="minorHAnsi"/>
          <w:b/>
          <w:sz w:val="28"/>
          <w:szCs w:val="22"/>
        </w:rPr>
        <w:t>Assemblée Générale du </w:t>
      </w:r>
      <w:r w:rsidR="00D81CF9">
        <w:rPr>
          <w:rFonts w:asciiTheme="minorHAnsi" w:hAnsiTheme="minorHAnsi" w:cstheme="minorHAnsi"/>
          <w:b/>
          <w:color w:val="auto"/>
          <w:sz w:val="28"/>
          <w:szCs w:val="22"/>
        </w:rPr>
        <w:t>13</w:t>
      </w:r>
      <w:r w:rsidR="00D6724E">
        <w:rPr>
          <w:rFonts w:asciiTheme="minorHAnsi" w:hAnsiTheme="minorHAnsi" w:cstheme="minorHAnsi"/>
          <w:b/>
          <w:color w:val="auto"/>
          <w:sz w:val="28"/>
          <w:szCs w:val="22"/>
        </w:rPr>
        <w:t xml:space="preserve"> </w:t>
      </w:r>
      <w:r w:rsidR="00F55A6F">
        <w:rPr>
          <w:rFonts w:asciiTheme="minorHAnsi" w:hAnsiTheme="minorHAnsi" w:cstheme="minorHAnsi"/>
          <w:b/>
          <w:sz w:val="28"/>
          <w:szCs w:val="22"/>
        </w:rPr>
        <w:t>juin 2023</w:t>
      </w:r>
    </w:p>
    <w:p w14:paraId="0064DD66" w14:textId="77777777" w:rsidR="00737002" w:rsidRDefault="001E6AA8">
      <w:pPr>
        <w:pStyle w:val="NormalWeb"/>
        <w:spacing w:before="280" w:after="280"/>
        <w:jc w:val="center"/>
        <w:rPr>
          <w:rFonts w:asciiTheme="minorHAnsi" w:hAnsiTheme="minorHAnsi" w:cstheme="minorHAnsi"/>
          <w:b/>
          <w:sz w:val="28"/>
          <w:szCs w:val="22"/>
        </w:rPr>
      </w:pPr>
      <w:r>
        <w:rPr>
          <w:rFonts w:asciiTheme="minorHAnsi" w:hAnsiTheme="minorHAnsi" w:cstheme="minorHAnsi"/>
          <w:b/>
          <w:sz w:val="28"/>
          <w:szCs w:val="22"/>
        </w:rPr>
        <w:t xml:space="preserve">Rapport </w:t>
      </w:r>
      <w:r w:rsidR="007B71F3">
        <w:rPr>
          <w:rFonts w:asciiTheme="minorHAnsi" w:hAnsiTheme="minorHAnsi" w:cstheme="minorHAnsi"/>
          <w:b/>
          <w:sz w:val="28"/>
          <w:szCs w:val="22"/>
        </w:rPr>
        <w:t>financier du Trésorier</w:t>
      </w:r>
    </w:p>
    <w:p w14:paraId="1DB3519A" w14:textId="5038D078" w:rsidR="00737002" w:rsidRDefault="00737002" w:rsidP="00737002">
      <w:pPr>
        <w:pStyle w:val="NormalWeb"/>
        <w:jc w:val="both"/>
      </w:pPr>
      <w:r>
        <w:rPr>
          <w:rFonts w:ascii="Calibri" w:hAnsi="Calibri" w:cs="Calibri"/>
          <w:sz w:val="22"/>
          <w:szCs w:val="22"/>
        </w:rPr>
        <w:t>Le compte de résultat 2022 présente un déficit de déficit de</w:t>
      </w:r>
      <w:r w:rsidR="008A4D47">
        <w:rPr>
          <w:rFonts w:ascii="Calibri" w:hAnsi="Calibri" w:cs="Calibri"/>
          <w:sz w:val="22"/>
          <w:szCs w:val="22"/>
        </w:rPr>
        <w:t xml:space="preserve"> </w:t>
      </w:r>
      <w:r>
        <w:rPr>
          <w:rFonts w:ascii="Calibri" w:hAnsi="Calibri" w:cs="Calibri"/>
          <w:sz w:val="22"/>
          <w:szCs w:val="22"/>
        </w:rPr>
        <w:t>8324,89 € après un excédent de 4</w:t>
      </w:r>
      <w:r w:rsidR="008A4D47">
        <w:rPr>
          <w:rFonts w:ascii="Calibri" w:hAnsi="Calibri" w:cs="Calibri"/>
          <w:sz w:val="22"/>
          <w:szCs w:val="22"/>
        </w:rPr>
        <w:t> </w:t>
      </w:r>
      <w:r>
        <w:rPr>
          <w:rFonts w:ascii="Calibri" w:hAnsi="Calibri" w:cs="Calibri"/>
          <w:sz w:val="22"/>
          <w:szCs w:val="22"/>
        </w:rPr>
        <w:t>289</w:t>
      </w:r>
      <w:r w:rsidR="008A4D47">
        <w:rPr>
          <w:rFonts w:ascii="Calibri" w:hAnsi="Calibri" w:cs="Calibri"/>
          <w:sz w:val="22"/>
          <w:szCs w:val="22"/>
        </w:rPr>
        <w:t xml:space="preserve"> </w:t>
      </w:r>
      <w:r>
        <w:rPr>
          <w:rFonts w:ascii="Calibri" w:hAnsi="Calibri" w:cs="Calibri"/>
          <w:sz w:val="22"/>
          <w:szCs w:val="22"/>
        </w:rPr>
        <w:t xml:space="preserve">€ en 2021, un déficit de 4037 € en 2020, des excédents de 6 289 € de 2019, de 4384 € en 2018, et de 15 176 € en 2017. </w:t>
      </w:r>
    </w:p>
    <w:p w14:paraId="2850C71E" w14:textId="2EA25998" w:rsidR="00155EF4" w:rsidRDefault="00737002" w:rsidP="00737002">
      <w:pPr>
        <w:pStyle w:val="NormalWeb"/>
        <w:jc w:val="both"/>
        <w:rPr>
          <w:rFonts w:ascii="Calibri" w:hAnsi="Calibri" w:cs="Calibri"/>
          <w:sz w:val="22"/>
          <w:szCs w:val="22"/>
        </w:rPr>
      </w:pPr>
      <w:r>
        <w:rPr>
          <w:rFonts w:ascii="Calibri" w:hAnsi="Calibri" w:cs="Calibri"/>
          <w:sz w:val="22"/>
          <w:szCs w:val="22"/>
        </w:rPr>
        <w:t xml:space="preserve">En 2022 on constate une </w:t>
      </w:r>
      <w:r w:rsidR="00817F18">
        <w:rPr>
          <w:rFonts w:ascii="Calibri" w:hAnsi="Calibri" w:cs="Calibri"/>
          <w:sz w:val="22"/>
          <w:szCs w:val="22"/>
        </w:rPr>
        <w:t>nette</w:t>
      </w:r>
      <w:r>
        <w:rPr>
          <w:rFonts w:ascii="Calibri" w:hAnsi="Calibri" w:cs="Calibri"/>
          <w:sz w:val="22"/>
          <w:szCs w:val="22"/>
        </w:rPr>
        <w:t xml:space="preserve"> baisse de notre portefeuille </w:t>
      </w:r>
      <w:r w:rsidR="008A4D47">
        <w:rPr>
          <w:rFonts w:ascii="Calibri" w:hAnsi="Calibri" w:cs="Calibri"/>
          <w:sz w:val="22"/>
          <w:szCs w:val="22"/>
        </w:rPr>
        <w:t xml:space="preserve">boursier </w:t>
      </w:r>
      <w:r w:rsidR="00C41971">
        <w:rPr>
          <w:rFonts w:ascii="Calibri" w:hAnsi="Calibri" w:cs="Calibri"/>
          <w:sz w:val="22"/>
          <w:szCs w:val="22"/>
        </w:rPr>
        <w:t>de 13</w:t>
      </w:r>
      <w:r w:rsidR="00155EF4">
        <w:rPr>
          <w:rFonts w:ascii="Calibri" w:hAnsi="Calibri" w:cs="Calibri"/>
          <w:sz w:val="22"/>
          <w:szCs w:val="22"/>
        </w:rPr>
        <w:t xml:space="preserve"> </w:t>
      </w:r>
      <w:r w:rsidR="00C41971">
        <w:rPr>
          <w:rFonts w:ascii="Calibri" w:hAnsi="Calibri" w:cs="Calibri"/>
          <w:sz w:val="22"/>
          <w:szCs w:val="22"/>
        </w:rPr>
        <w:t>609 € (</w:t>
      </w:r>
      <w:r w:rsidR="00155EF4">
        <w:rPr>
          <w:rFonts w:ascii="Calibri" w:hAnsi="Calibri" w:cs="Calibri"/>
          <w:sz w:val="22"/>
          <w:szCs w:val="22"/>
        </w:rPr>
        <w:t xml:space="preserve">6,7 % à comparer à la baisse du CAC 40 de 9,5%) </w:t>
      </w:r>
      <w:r>
        <w:rPr>
          <w:rFonts w:ascii="Calibri" w:hAnsi="Calibri" w:cs="Calibri"/>
          <w:sz w:val="22"/>
          <w:szCs w:val="22"/>
        </w:rPr>
        <w:t>après une remontée en 2021 de 7</w:t>
      </w:r>
      <w:r w:rsidR="008A4D47">
        <w:rPr>
          <w:rFonts w:ascii="Calibri" w:hAnsi="Calibri" w:cs="Calibri"/>
          <w:sz w:val="22"/>
          <w:szCs w:val="22"/>
        </w:rPr>
        <w:t xml:space="preserve"> </w:t>
      </w:r>
      <w:r>
        <w:rPr>
          <w:rFonts w:ascii="Calibri" w:hAnsi="Calibri" w:cs="Calibri"/>
          <w:sz w:val="22"/>
          <w:szCs w:val="22"/>
        </w:rPr>
        <w:t>200 €</w:t>
      </w:r>
      <w:r w:rsidR="00155EF4">
        <w:rPr>
          <w:rFonts w:ascii="Calibri" w:hAnsi="Calibri" w:cs="Calibri"/>
          <w:sz w:val="22"/>
          <w:szCs w:val="22"/>
        </w:rPr>
        <w:t>.</w:t>
      </w:r>
    </w:p>
    <w:p w14:paraId="05ED6C2B" w14:textId="02A42489" w:rsidR="007C6322" w:rsidRPr="007C0828" w:rsidRDefault="00155EF4" w:rsidP="00155EF4">
      <w:pPr>
        <w:pStyle w:val="NormalWeb"/>
        <w:jc w:val="both"/>
        <w:rPr>
          <w:rFonts w:ascii="Calibri" w:hAnsi="Calibri" w:cs="Calibri"/>
          <w:sz w:val="22"/>
          <w:szCs w:val="22"/>
        </w:rPr>
      </w:pPr>
      <w:r>
        <w:rPr>
          <w:rFonts w:ascii="Calibri" w:hAnsi="Calibri" w:cs="Calibri"/>
          <w:sz w:val="22"/>
          <w:szCs w:val="22"/>
        </w:rPr>
        <w:t xml:space="preserve">On rappelle que l'association a conclu un placement auprès de la Banque Postale / CNE de 150 000 € </w:t>
      </w:r>
      <w:r w:rsidR="001C1238">
        <w:rPr>
          <w:rFonts w:ascii="Calibri" w:hAnsi="Calibri" w:cs="Calibri"/>
          <w:sz w:val="22"/>
          <w:szCs w:val="22"/>
        </w:rPr>
        <w:t xml:space="preserve">brut </w:t>
      </w:r>
      <w:r>
        <w:rPr>
          <w:rFonts w:ascii="Calibri" w:hAnsi="Calibri" w:cs="Calibri"/>
          <w:sz w:val="22"/>
          <w:szCs w:val="22"/>
        </w:rPr>
        <w:t>sur un horizon de quatre ans, signé le 29 janvier 2019. La valeur de ce placement au 31 décembre 202</w:t>
      </w:r>
      <w:r w:rsidR="00AC0C54">
        <w:rPr>
          <w:rFonts w:ascii="Calibri" w:hAnsi="Calibri" w:cs="Calibri"/>
          <w:sz w:val="22"/>
          <w:szCs w:val="22"/>
        </w:rPr>
        <w:t xml:space="preserve">2 est de </w:t>
      </w:r>
      <w:r w:rsidR="007C6322">
        <w:rPr>
          <w:rFonts w:ascii="Calibri" w:hAnsi="Calibri" w:cs="Calibri"/>
          <w:sz w:val="22"/>
          <w:szCs w:val="22"/>
        </w:rPr>
        <w:t xml:space="preserve">143 971 € </w:t>
      </w:r>
      <w:r w:rsidR="00AC0C54">
        <w:rPr>
          <w:rFonts w:ascii="Calibri" w:hAnsi="Calibri" w:cs="Calibri"/>
          <w:sz w:val="22"/>
          <w:szCs w:val="22"/>
        </w:rPr>
        <w:t xml:space="preserve">après </w:t>
      </w:r>
      <w:r>
        <w:rPr>
          <w:rFonts w:ascii="Calibri" w:hAnsi="Calibri" w:cs="Calibri"/>
          <w:sz w:val="22"/>
          <w:szCs w:val="22"/>
        </w:rPr>
        <w:t>153 536 €</w:t>
      </w:r>
      <w:r w:rsidR="00AC0C54">
        <w:rPr>
          <w:rFonts w:ascii="Calibri" w:hAnsi="Calibri" w:cs="Calibri"/>
          <w:sz w:val="22"/>
          <w:szCs w:val="22"/>
        </w:rPr>
        <w:t xml:space="preserve"> au 31 dec 2021. </w:t>
      </w:r>
      <w:r>
        <w:rPr>
          <w:rFonts w:ascii="Calibri" w:hAnsi="Calibri" w:cs="Calibri"/>
          <w:sz w:val="22"/>
          <w:szCs w:val="22"/>
        </w:rPr>
        <w:t xml:space="preserve"> </w:t>
      </w:r>
      <w:r w:rsidR="007C6322">
        <w:rPr>
          <w:rFonts w:ascii="Calibri" w:hAnsi="Calibri" w:cs="Calibri"/>
          <w:sz w:val="22"/>
          <w:szCs w:val="22"/>
        </w:rPr>
        <w:t xml:space="preserve">Au 31 mars 2023, sa valeur est remontée à 147 136 €. </w:t>
      </w:r>
      <w:r w:rsidR="007C0828">
        <w:rPr>
          <w:rFonts w:ascii="Calibri" w:hAnsi="Calibri" w:cs="Calibri"/>
          <w:sz w:val="22"/>
          <w:szCs w:val="22"/>
        </w:rPr>
        <w:t xml:space="preserve"> </w:t>
      </w:r>
      <w:r w:rsidR="007C6322">
        <w:rPr>
          <w:rFonts w:ascii="Calibri" w:hAnsi="Calibri" w:cs="Calibri"/>
          <w:sz w:val="22"/>
          <w:szCs w:val="22"/>
        </w:rPr>
        <w:t>Ce placement a une garantie de plancher de remboursement au 31 décembre 2023 égal au capital investi net des frais de versement et minorés des frais sur encours</w:t>
      </w:r>
      <w:r w:rsidR="00760E80">
        <w:rPr>
          <w:rFonts w:ascii="Calibri" w:hAnsi="Calibri" w:cs="Calibri"/>
          <w:sz w:val="22"/>
          <w:szCs w:val="22"/>
        </w:rPr>
        <w:t>, soi</w:t>
      </w:r>
      <w:r w:rsidR="007C0828">
        <w:rPr>
          <w:rFonts w:ascii="Calibri" w:hAnsi="Calibri" w:cs="Calibri"/>
          <w:sz w:val="22"/>
          <w:szCs w:val="22"/>
        </w:rPr>
        <w:t>t</w:t>
      </w:r>
      <w:r w:rsidR="00760E80">
        <w:rPr>
          <w:rFonts w:ascii="Calibri" w:hAnsi="Calibri" w:cs="Calibri"/>
          <w:sz w:val="22"/>
          <w:szCs w:val="22"/>
        </w:rPr>
        <w:t xml:space="preserve"> environ 142 500 € (frais sur encours 1% par an et frais de versement </w:t>
      </w:r>
      <w:r w:rsidR="007C0828">
        <w:rPr>
          <w:rFonts w:ascii="Calibri" w:hAnsi="Calibri" w:cs="Calibri"/>
          <w:sz w:val="22"/>
          <w:szCs w:val="22"/>
        </w:rPr>
        <w:t xml:space="preserve">initial </w:t>
      </w:r>
      <w:r w:rsidR="00760E80">
        <w:rPr>
          <w:rFonts w:ascii="Calibri" w:hAnsi="Calibri" w:cs="Calibri"/>
          <w:sz w:val="22"/>
          <w:szCs w:val="22"/>
        </w:rPr>
        <w:t>0,9 %</w:t>
      </w:r>
      <w:r w:rsidR="008A4D47">
        <w:rPr>
          <w:rFonts w:ascii="Calibri" w:hAnsi="Calibri" w:cs="Calibri"/>
          <w:sz w:val="22"/>
          <w:szCs w:val="22"/>
        </w:rPr>
        <w:t>)</w:t>
      </w:r>
      <w:r w:rsidR="00004BF7">
        <w:rPr>
          <w:rFonts w:ascii="Calibri" w:hAnsi="Calibri" w:cs="Calibri"/>
          <w:sz w:val="22"/>
          <w:szCs w:val="22"/>
        </w:rPr>
        <w:t xml:space="preserve">. </w:t>
      </w:r>
    </w:p>
    <w:p w14:paraId="125BE5F6" w14:textId="2AF95854" w:rsidR="000F4F64" w:rsidRDefault="000F4F64" w:rsidP="000F4F64">
      <w:pPr>
        <w:pStyle w:val="NormalWeb"/>
        <w:jc w:val="both"/>
        <w:rPr>
          <w:rFonts w:ascii="Calibri" w:hAnsi="Calibri" w:cs="Calibri"/>
          <w:sz w:val="22"/>
          <w:szCs w:val="22"/>
        </w:rPr>
      </w:pPr>
      <w:r>
        <w:rPr>
          <w:rFonts w:ascii="Calibri" w:hAnsi="Calibri" w:cs="Calibri"/>
          <w:sz w:val="22"/>
          <w:szCs w:val="22"/>
        </w:rPr>
        <w:t xml:space="preserve">Ce placement </w:t>
      </w:r>
      <w:r w:rsidR="009B062A">
        <w:rPr>
          <w:rFonts w:ascii="Calibri" w:hAnsi="Calibri" w:cs="Calibri"/>
          <w:sz w:val="22"/>
          <w:szCs w:val="22"/>
        </w:rPr>
        <w:t xml:space="preserve">LBP/CNE </w:t>
      </w:r>
      <w:r>
        <w:rPr>
          <w:rFonts w:ascii="Calibri" w:hAnsi="Calibri" w:cs="Calibri"/>
          <w:sz w:val="22"/>
          <w:szCs w:val="22"/>
        </w:rPr>
        <w:t>explique 9 565 € sur les 13 609 €</w:t>
      </w:r>
      <w:r w:rsidR="008A4D47">
        <w:rPr>
          <w:rFonts w:ascii="Calibri" w:hAnsi="Calibri" w:cs="Calibri"/>
          <w:sz w:val="22"/>
          <w:szCs w:val="22"/>
        </w:rPr>
        <w:t xml:space="preserve"> de perte</w:t>
      </w:r>
      <w:r>
        <w:rPr>
          <w:rFonts w:ascii="Calibri" w:hAnsi="Calibri" w:cs="Calibri"/>
          <w:sz w:val="22"/>
          <w:szCs w:val="22"/>
        </w:rPr>
        <w:t xml:space="preserve">. Le reste vient d’une baisse de 12% </w:t>
      </w:r>
      <w:r w:rsidR="008A4D47">
        <w:rPr>
          <w:rFonts w:ascii="Calibri" w:hAnsi="Calibri" w:cs="Calibri"/>
          <w:sz w:val="22"/>
          <w:szCs w:val="22"/>
        </w:rPr>
        <w:t xml:space="preserve">des titres </w:t>
      </w:r>
      <w:r>
        <w:rPr>
          <w:rFonts w:ascii="Calibri" w:hAnsi="Calibri" w:cs="Calibri"/>
          <w:sz w:val="22"/>
          <w:szCs w:val="22"/>
        </w:rPr>
        <w:t>« </w:t>
      </w:r>
      <w:r w:rsidRPr="00817F18">
        <w:rPr>
          <w:rFonts w:ascii="Calibri" w:hAnsi="Calibri" w:cs="Calibri"/>
          <w:sz w:val="22"/>
          <w:szCs w:val="22"/>
        </w:rPr>
        <w:t>Epargne Ethique Obligations</w:t>
      </w:r>
      <w:r>
        <w:rPr>
          <w:rFonts w:ascii="Calibri" w:hAnsi="Calibri" w:cs="Calibri"/>
          <w:sz w:val="22"/>
          <w:szCs w:val="22"/>
        </w:rPr>
        <w:t xml:space="preserve"> » de la BTP, pour presque 4000 €. Le </w:t>
      </w:r>
      <w:r w:rsidR="008A4D47">
        <w:rPr>
          <w:rFonts w:ascii="Calibri" w:hAnsi="Calibri" w:cs="Calibri"/>
          <w:sz w:val="22"/>
          <w:szCs w:val="22"/>
        </w:rPr>
        <w:t>troisième</w:t>
      </w:r>
      <w:r>
        <w:rPr>
          <w:rFonts w:ascii="Calibri" w:hAnsi="Calibri" w:cs="Calibri"/>
          <w:sz w:val="22"/>
          <w:szCs w:val="22"/>
        </w:rPr>
        <w:t xml:space="preserve"> placement</w:t>
      </w:r>
      <w:r w:rsidR="008A4D47">
        <w:rPr>
          <w:rFonts w:ascii="Calibri" w:hAnsi="Calibri" w:cs="Calibri"/>
          <w:sz w:val="22"/>
          <w:szCs w:val="22"/>
        </w:rPr>
        <w:t xml:space="preserve"> boursier,</w:t>
      </w:r>
      <w:r>
        <w:rPr>
          <w:rFonts w:ascii="Calibri" w:hAnsi="Calibri" w:cs="Calibri"/>
          <w:sz w:val="22"/>
          <w:szCs w:val="22"/>
        </w:rPr>
        <w:t xml:space="preserve"> en obligations du LCL</w:t>
      </w:r>
      <w:r w:rsidR="008A4D47">
        <w:rPr>
          <w:rFonts w:ascii="Calibri" w:hAnsi="Calibri" w:cs="Calibri"/>
          <w:sz w:val="22"/>
          <w:szCs w:val="22"/>
        </w:rPr>
        <w:t>,</w:t>
      </w:r>
      <w:r>
        <w:rPr>
          <w:rFonts w:ascii="Calibri" w:hAnsi="Calibri" w:cs="Calibri"/>
          <w:sz w:val="22"/>
          <w:szCs w:val="22"/>
        </w:rPr>
        <w:t xml:space="preserve"> est resté quasiment stable. </w:t>
      </w:r>
      <w:r w:rsidR="00010151">
        <w:rPr>
          <w:rFonts w:ascii="Calibri" w:hAnsi="Calibri" w:cs="Calibri"/>
          <w:sz w:val="22"/>
          <w:szCs w:val="22"/>
        </w:rPr>
        <w:t>A</w:t>
      </w:r>
      <w:r w:rsidR="004328DC">
        <w:rPr>
          <w:rFonts w:ascii="Calibri" w:hAnsi="Calibri" w:cs="Calibri"/>
          <w:sz w:val="22"/>
          <w:szCs w:val="22"/>
        </w:rPr>
        <w:t>u</w:t>
      </w:r>
      <w:r w:rsidR="00010151">
        <w:rPr>
          <w:rFonts w:ascii="Calibri" w:hAnsi="Calibri" w:cs="Calibri"/>
          <w:sz w:val="22"/>
          <w:szCs w:val="22"/>
        </w:rPr>
        <w:t xml:space="preserve"> 31 mars</w:t>
      </w:r>
      <w:r w:rsidR="004328DC">
        <w:rPr>
          <w:rFonts w:ascii="Calibri" w:hAnsi="Calibri" w:cs="Calibri"/>
          <w:sz w:val="22"/>
          <w:szCs w:val="22"/>
        </w:rPr>
        <w:t xml:space="preserve"> 2023</w:t>
      </w:r>
      <w:r w:rsidR="00010151">
        <w:rPr>
          <w:rFonts w:ascii="Calibri" w:hAnsi="Calibri" w:cs="Calibri"/>
          <w:sz w:val="22"/>
          <w:szCs w:val="22"/>
        </w:rPr>
        <w:t xml:space="preserve">, sur l’ensemble de ces trois placements, la perte par rapport à fin 2021 est ramenée à 9 500 €.  </w:t>
      </w:r>
    </w:p>
    <w:p w14:paraId="2A16034D" w14:textId="329B7DA7" w:rsidR="00155EF4" w:rsidRDefault="00155EF4" w:rsidP="00155EF4">
      <w:pPr>
        <w:pStyle w:val="NormalWeb"/>
        <w:jc w:val="both"/>
        <w:rPr>
          <w:rFonts w:ascii="Calibri" w:hAnsi="Calibri" w:cs="Calibri"/>
          <w:sz w:val="22"/>
          <w:szCs w:val="22"/>
        </w:rPr>
      </w:pPr>
      <w:r>
        <w:rPr>
          <w:rFonts w:ascii="Calibri" w:hAnsi="Calibri" w:cs="Calibri"/>
          <w:sz w:val="22"/>
          <w:szCs w:val="22"/>
        </w:rPr>
        <w:t xml:space="preserve">Au-delà de ces fonds </w:t>
      </w:r>
      <w:r w:rsidR="00F91275">
        <w:rPr>
          <w:rFonts w:ascii="Calibri" w:hAnsi="Calibri" w:cs="Calibri"/>
          <w:sz w:val="22"/>
          <w:szCs w:val="22"/>
        </w:rPr>
        <w:t xml:space="preserve">CNE </w:t>
      </w:r>
      <w:r>
        <w:rPr>
          <w:rFonts w:ascii="Calibri" w:hAnsi="Calibri" w:cs="Calibri"/>
          <w:sz w:val="22"/>
          <w:szCs w:val="22"/>
        </w:rPr>
        <w:t>bloqués jusqu’à janvier 202</w:t>
      </w:r>
      <w:r w:rsidR="00004BF7">
        <w:rPr>
          <w:rFonts w:ascii="Calibri" w:hAnsi="Calibri" w:cs="Calibri"/>
          <w:sz w:val="22"/>
          <w:szCs w:val="22"/>
        </w:rPr>
        <w:t>4</w:t>
      </w:r>
      <w:r w:rsidR="0006544F">
        <w:rPr>
          <w:rFonts w:ascii="Calibri" w:hAnsi="Calibri" w:cs="Calibri"/>
          <w:sz w:val="22"/>
          <w:szCs w:val="22"/>
        </w:rPr>
        <w:t xml:space="preserve"> ou dont la valeur dépend de la bourse</w:t>
      </w:r>
      <w:r w:rsidR="00F91275">
        <w:rPr>
          <w:rFonts w:ascii="Calibri" w:hAnsi="Calibri" w:cs="Calibri"/>
          <w:sz w:val="22"/>
          <w:szCs w:val="22"/>
        </w:rPr>
        <w:t xml:space="preserve"> (BTP et LCL) </w:t>
      </w:r>
      <w:r w:rsidR="0006544F">
        <w:rPr>
          <w:rFonts w:ascii="Calibri" w:hAnsi="Calibri" w:cs="Calibri"/>
          <w:sz w:val="22"/>
          <w:szCs w:val="22"/>
        </w:rPr>
        <w:t xml:space="preserve">, </w:t>
      </w:r>
      <w:r>
        <w:rPr>
          <w:rFonts w:ascii="Calibri" w:hAnsi="Calibri" w:cs="Calibri"/>
          <w:sz w:val="22"/>
          <w:szCs w:val="22"/>
        </w:rPr>
        <w:t xml:space="preserve">l’association dispose de </w:t>
      </w:r>
      <w:r w:rsidR="00364CAD">
        <w:rPr>
          <w:rFonts w:ascii="Calibri" w:hAnsi="Calibri" w:cs="Calibri"/>
          <w:sz w:val="22"/>
          <w:szCs w:val="22"/>
        </w:rPr>
        <w:t>90</w:t>
      </w:r>
      <w:r>
        <w:rPr>
          <w:rFonts w:ascii="Calibri" w:hAnsi="Calibri" w:cs="Calibri"/>
          <w:sz w:val="22"/>
          <w:szCs w:val="22"/>
        </w:rPr>
        <w:t xml:space="preserve"> K€ liquides ou mobilisables sous quelques jours pour faire face à toute demande de prêt.</w:t>
      </w:r>
      <w:r w:rsidR="00F826BC">
        <w:rPr>
          <w:rFonts w:ascii="Calibri" w:hAnsi="Calibri" w:cs="Calibri"/>
          <w:sz w:val="22"/>
          <w:szCs w:val="22"/>
        </w:rPr>
        <w:t xml:space="preserve"> L’essentiel étant sur un livret A associatif auprès de LBP. </w:t>
      </w:r>
    </w:p>
    <w:p w14:paraId="7555F1D7" w14:textId="6FF3A4ED" w:rsidR="007B167B" w:rsidRDefault="007B167B" w:rsidP="00155EF4">
      <w:pPr>
        <w:pStyle w:val="NormalWeb"/>
        <w:jc w:val="both"/>
        <w:rPr>
          <w:rFonts w:ascii="Calibri" w:hAnsi="Calibri" w:cs="Calibri"/>
          <w:sz w:val="22"/>
          <w:szCs w:val="22"/>
        </w:rPr>
      </w:pPr>
      <w:r>
        <w:rPr>
          <w:rFonts w:ascii="Calibri" w:hAnsi="Calibri" w:cs="Calibri"/>
          <w:sz w:val="22"/>
          <w:szCs w:val="22"/>
        </w:rPr>
        <w:t>Les produits financiers ont fortement cru à 1100 € essentiellement grâce à la croissance du taux d’intérêt du livret A</w:t>
      </w:r>
      <w:r w:rsidR="008A4D47">
        <w:rPr>
          <w:rFonts w:ascii="Calibri" w:hAnsi="Calibri" w:cs="Calibri"/>
          <w:sz w:val="22"/>
          <w:szCs w:val="22"/>
        </w:rPr>
        <w:t xml:space="preserve"> </w:t>
      </w:r>
      <w:r>
        <w:rPr>
          <w:rFonts w:ascii="Calibri" w:hAnsi="Calibri" w:cs="Calibri"/>
          <w:sz w:val="22"/>
          <w:szCs w:val="22"/>
        </w:rPr>
        <w:t xml:space="preserve"> (2% du 1</w:t>
      </w:r>
      <w:r w:rsidRPr="007B167B">
        <w:rPr>
          <w:rFonts w:ascii="Calibri" w:hAnsi="Calibri" w:cs="Calibri"/>
          <w:sz w:val="22"/>
          <w:szCs w:val="22"/>
          <w:vertAlign w:val="superscript"/>
        </w:rPr>
        <w:t>er</w:t>
      </w:r>
      <w:r>
        <w:rPr>
          <w:rFonts w:ascii="Calibri" w:hAnsi="Calibri" w:cs="Calibri"/>
          <w:sz w:val="22"/>
          <w:szCs w:val="22"/>
        </w:rPr>
        <w:t xml:space="preserve"> aout 22 au 31 janvier 23). Les frais financiers comprennent 270 € de frais de LBP et 30 </w:t>
      </w:r>
      <w:r w:rsidR="008A4D47">
        <w:rPr>
          <w:rFonts w:ascii="Calibri" w:hAnsi="Calibri" w:cs="Calibri"/>
          <w:sz w:val="22"/>
          <w:szCs w:val="22"/>
        </w:rPr>
        <w:t>€</w:t>
      </w:r>
      <w:r>
        <w:rPr>
          <w:rFonts w:ascii="Calibri" w:hAnsi="Calibri" w:cs="Calibri"/>
          <w:sz w:val="22"/>
          <w:szCs w:val="22"/>
        </w:rPr>
        <w:t xml:space="preserve"> de BTP.</w:t>
      </w:r>
      <w:r w:rsidR="008A4D47">
        <w:rPr>
          <w:rFonts w:ascii="Calibri" w:hAnsi="Calibri" w:cs="Calibri"/>
          <w:sz w:val="22"/>
          <w:szCs w:val="22"/>
        </w:rPr>
        <w:t xml:space="preserve"> Le compte courant LCL ne prélève aucun frais de gestion. En application d’une résolution de l’AG de 2022, le bureau s’est attaché à réduire les frais financiers imposés par LBP. Depuis avril 2023, les frais sont divisés par deux et le trésorier a accès par internet aux comptes LBP. </w:t>
      </w:r>
      <w:r w:rsidR="000158F1">
        <w:rPr>
          <w:rFonts w:ascii="Calibri" w:hAnsi="Calibri" w:cs="Calibri"/>
          <w:sz w:val="22"/>
          <w:szCs w:val="22"/>
        </w:rPr>
        <w:t xml:space="preserve">La question de rester </w:t>
      </w:r>
      <w:r w:rsidR="007C0828">
        <w:rPr>
          <w:rFonts w:ascii="Calibri" w:hAnsi="Calibri" w:cs="Calibri"/>
          <w:sz w:val="22"/>
          <w:szCs w:val="22"/>
        </w:rPr>
        <w:t xml:space="preserve">tri bancarisé (LBP, BTP et LCL) se pose. </w:t>
      </w:r>
    </w:p>
    <w:p w14:paraId="253F3F04" w14:textId="3678A29C" w:rsidR="009B0441" w:rsidRDefault="009B0441" w:rsidP="00155EF4">
      <w:pPr>
        <w:pStyle w:val="NormalWeb"/>
        <w:jc w:val="both"/>
        <w:rPr>
          <w:rFonts w:ascii="Calibri" w:hAnsi="Calibri" w:cs="Calibri"/>
          <w:sz w:val="22"/>
          <w:szCs w:val="22"/>
        </w:rPr>
      </w:pPr>
      <w:r>
        <w:rPr>
          <w:rFonts w:ascii="Calibri" w:hAnsi="Calibri" w:cs="Calibri"/>
          <w:sz w:val="22"/>
          <w:szCs w:val="22"/>
        </w:rPr>
        <w:t xml:space="preserve">Par ailleurs, les frais divers comprennent 59,88 € d’abonnement au service internet </w:t>
      </w:r>
      <w:r w:rsidR="007778D3">
        <w:rPr>
          <w:rFonts w:ascii="Calibri" w:hAnsi="Calibri" w:cs="Calibri"/>
          <w:sz w:val="22"/>
          <w:szCs w:val="22"/>
        </w:rPr>
        <w:t xml:space="preserve">de overblog </w:t>
      </w:r>
      <w:r>
        <w:rPr>
          <w:rFonts w:ascii="Calibri" w:hAnsi="Calibri" w:cs="Calibri"/>
          <w:sz w:val="22"/>
          <w:szCs w:val="22"/>
        </w:rPr>
        <w:t>qui accueille le site saipc.fr, mis à jour régulièrement par le Trésorier.</w:t>
      </w:r>
    </w:p>
    <w:p w14:paraId="6AB3CB1A" w14:textId="1F36EAEB" w:rsidR="00737002" w:rsidRDefault="00737002" w:rsidP="00737002">
      <w:pPr>
        <w:pStyle w:val="NormalWeb"/>
        <w:jc w:val="both"/>
      </w:pPr>
      <w:r>
        <w:rPr>
          <w:rFonts w:ascii="Calibri" w:hAnsi="Calibri" w:cs="Calibri"/>
          <w:sz w:val="22"/>
          <w:szCs w:val="22"/>
        </w:rPr>
        <w:t>Les cotisations</w:t>
      </w:r>
      <w:r w:rsidR="007778D3">
        <w:rPr>
          <w:rFonts w:ascii="Calibri" w:hAnsi="Calibri" w:cs="Calibri"/>
          <w:sz w:val="22"/>
          <w:szCs w:val="22"/>
        </w:rPr>
        <w:t xml:space="preserve"> (7532 €)</w:t>
      </w:r>
      <w:r>
        <w:rPr>
          <w:rFonts w:ascii="Calibri" w:hAnsi="Calibri" w:cs="Calibri"/>
          <w:sz w:val="22"/>
          <w:szCs w:val="22"/>
        </w:rPr>
        <w:t xml:space="preserve"> ont été </w:t>
      </w:r>
      <w:r w:rsidR="007778D3">
        <w:rPr>
          <w:rFonts w:ascii="Calibri" w:hAnsi="Calibri" w:cs="Calibri"/>
          <w:sz w:val="22"/>
          <w:szCs w:val="22"/>
        </w:rPr>
        <w:t>au niveau du</w:t>
      </w:r>
      <w:r>
        <w:rPr>
          <w:rFonts w:ascii="Calibri" w:hAnsi="Calibri" w:cs="Calibri"/>
          <w:sz w:val="22"/>
          <w:szCs w:val="22"/>
        </w:rPr>
        <w:t xml:space="preserve"> budget et </w:t>
      </w:r>
      <w:r w:rsidR="007778D3">
        <w:rPr>
          <w:rFonts w:ascii="Calibri" w:hAnsi="Calibri" w:cs="Calibri"/>
          <w:sz w:val="22"/>
          <w:szCs w:val="22"/>
        </w:rPr>
        <w:t xml:space="preserve">un peu </w:t>
      </w:r>
      <w:r>
        <w:rPr>
          <w:rFonts w:ascii="Calibri" w:hAnsi="Calibri" w:cs="Calibri"/>
          <w:sz w:val="22"/>
          <w:szCs w:val="22"/>
        </w:rPr>
        <w:t xml:space="preserve">au-dessus </w:t>
      </w:r>
      <w:r w:rsidR="007778D3">
        <w:rPr>
          <w:rFonts w:ascii="Calibri" w:hAnsi="Calibri" w:cs="Calibri"/>
          <w:sz w:val="22"/>
          <w:szCs w:val="22"/>
        </w:rPr>
        <w:t>de celles de 2021 (7472 €) poursuivant une courbe ascendante :</w:t>
      </w:r>
      <w:r>
        <w:rPr>
          <w:rFonts w:ascii="Calibri" w:hAnsi="Calibri" w:cs="Calibri"/>
          <w:sz w:val="22"/>
          <w:szCs w:val="22"/>
        </w:rPr>
        <w:t xml:space="preserve"> 6 056 €</w:t>
      </w:r>
      <w:r w:rsidR="007778D3">
        <w:rPr>
          <w:rFonts w:ascii="Calibri" w:hAnsi="Calibri" w:cs="Calibri"/>
          <w:sz w:val="22"/>
          <w:szCs w:val="22"/>
        </w:rPr>
        <w:t>en 2020 et 5</w:t>
      </w:r>
      <w:r w:rsidR="00DA4220">
        <w:rPr>
          <w:rFonts w:ascii="Calibri" w:hAnsi="Calibri" w:cs="Calibri"/>
          <w:sz w:val="22"/>
          <w:szCs w:val="22"/>
        </w:rPr>
        <w:t xml:space="preserve"> </w:t>
      </w:r>
      <w:r w:rsidR="007778D3">
        <w:rPr>
          <w:rFonts w:ascii="Calibri" w:hAnsi="Calibri" w:cs="Calibri"/>
          <w:sz w:val="22"/>
          <w:szCs w:val="22"/>
        </w:rPr>
        <w:t xml:space="preserve">093 € en </w:t>
      </w:r>
      <w:r>
        <w:rPr>
          <w:rFonts w:ascii="Calibri" w:hAnsi="Calibri" w:cs="Calibri"/>
          <w:sz w:val="22"/>
          <w:szCs w:val="22"/>
        </w:rPr>
        <w:t xml:space="preserve">2019.  </w:t>
      </w:r>
    </w:p>
    <w:p w14:paraId="32740818" w14:textId="0514B32E" w:rsidR="00737002" w:rsidRDefault="00737002" w:rsidP="00737002">
      <w:pPr>
        <w:pStyle w:val="NormalWeb"/>
        <w:jc w:val="both"/>
      </w:pPr>
      <w:r>
        <w:rPr>
          <w:rFonts w:ascii="Calibri" w:hAnsi="Calibri" w:cs="Calibri"/>
          <w:sz w:val="22"/>
          <w:szCs w:val="22"/>
        </w:rPr>
        <w:lastRenderedPageBreak/>
        <w:t>Il est à noter que le don à l'UNIPEF (1500 €), compte tenu de son soutien pour 2021, n'a été décaissé qu'en début 202</w:t>
      </w:r>
      <w:r w:rsidR="000158F1">
        <w:rPr>
          <w:rFonts w:ascii="Calibri" w:hAnsi="Calibri" w:cs="Calibri"/>
          <w:sz w:val="22"/>
          <w:szCs w:val="22"/>
        </w:rPr>
        <w:t>3</w:t>
      </w:r>
      <w:r>
        <w:rPr>
          <w:rFonts w:ascii="Calibri" w:hAnsi="Calibri" w:cs="Calibri"/>
          <w:sz w:val="22"/>
          <w:szCs w:val="22"/>
        </w:rPr>
        <w:t>, comme l'an dernier. C'est pourquoi, le montant figure aussi dans le bilan.</w:t>
      </w:r>
    </w:p>
    <w:p w14:paraId="496B7E9A" w14:textId="6F8FC539" w:rsidR="00737002" w:rsidRDefault="004011B1" w:rsidP="00737002">
      <w:pPr>
        <w:pStyle w:val="NormalWeb"/>
        <w:jc w:val="both"/>
        <w:rPr>
          <w:rFonts w:ascii="Calibri" w:hAnsi="Calibri" w:cs="Calibri"/>
          <w:sz w:val="22"/>
          <w:szCs w:val="22"/>
        </w:rPr>
      </w:pPr>
      <w:r>
        <w:rPr>
          <w:rFonts w:ascii="Calibri" w:hAnsi="Calibri" w:cs="Calibri"/>
          <w:sz w:val="22"/>
          <w:szCs w:val="22"/>
        </w:rPr>
        <w:t>S’agissant des prêt</w:t>
      </w:r>
      <w:r w:rsidR="00D42116">
        <w:rPr>
          <w:rFonts w:ascii="Calibri" w:hAnsi="Calibri" w:cs="Calibri"/>
          <w:sz w:val="22"/>
          <w:szCs w:val="22"/>
        </w:rPr>
        <w:t>s</w:t>
      </w:r>
      <w:r>
        <w:rPr>
          <w:rFonts w:ascii="Calibri" w:hAnsi="Calibri" w:cs="Calibri"/>
          <w:sz w:val="22"/>
          <w:szCs w:val="22"/>
        </w:rPr>
        <w:t xml:space="preserve">, </w:t>
      </w:r>
      <w:r w:rsidR="00D42116">
        <w:rPr>
          <w:rFonts w:ascii="Calibri" w:hAnsi="Calibri" w:cs="Calibri"/>
          <w:sz w:val="22"/>
          <w:szCs w:val="22"/>
        </w:rPr>
        <w:t>sur les 24 en cours, 10</w:t>
      </w:r>
      <w:r w:rsidR="00737002">
        <w:rPr>
          <w:rFonts w:ascii="Calibri" w:hAnsi="Calibri" w:cs="Calibri"/>
          <w:sz w:val="22"/>
          <w:szCs w:val="22"/>
        </w:rPr>
        <w:t xml:space="preserve"> ont déjà fait l'objet d'une provision intégrale pour </w:t>
      </w:r>
      <w:r w:rsidR="00D42116">
        <w:rPr>
          <w:rFonts w:ascii="Calibri" w:hAnsi="Calibri" w:cs="Calibri"/>
          <w:sz w:val="22"/>
          <w:szCs w:val="22"/>
        </w:rPr>
        <w:t>24</w:t>
      </w:r>
      <w:r w:rsidR="00737002">
        <w:rPr>
          <w:rFonts w:ascii="Calibri" w:hAnsi="Calibri" w:cs="Calibri"/>
          <w:sz w:val="22"/>
          <w:szCs w:val="22"/>
        </w:rPr>
        <w:t xml:space="preserve"> 811 €, 1</w:t>
      </w:r>
      <w:r w:rsidR="006B2E9F">
        <w:rPr>
          <w:rFonts w:ascii="Calibri" w:hAnsi="Calibri" w:cs="Calibri"/>
          <w:sz w:val="22"/>
          <w:szCs w:val="22"/>
        </w:rPr>
        <w:t>2</w:t>
      </w:r>
      <w:r w:rsidR="00737002">
        <w:rPr>
          <w:rFonts w:ascii="Calibri" w:hAnsi="Calibri" w:cs="Calibri"/>
          <w:sz w:val="22"/>
          <w:szCs w:val="22"/>
        </w:rPr>
        <w:t xml:space="preserve"> sont récents sans retard par rapport à l’échéancier de remboursement convenu ( </w:t>
      </w:r>
      <w:r w:rsidR="006B2E9F">
        <w:rPr>
          <w:rFonts w:ascii="Calibri" w:hAnsi="Calibri" w:cs="Calibri"/>
          <w:sz w:val="22"/>
          <w:szCs w:val="22"/>
        </w:rPr>
        <w:t>7</w:t>
      </w:r>
      <w:r w:rsidR="00737002">
        <w:rPr>
          <w:rFonts w:ascii="Calibri" w:hAnsi="Calibri" w:cs="Calibri"/>
          <w:sz w:val="22"/>
          <w:szCs w:val="22"/>
        </w:rPr>
        <w:t xml:space="preserve"> de FGS et </w:t>
      </w:r>
      <w:r w:rsidR="002F7CF6">
        <w:rPr>
          <w:rFonts w:ascii="Calibri" w:hAnsi="Calibri" w:cs="Calibri"/>
          <w:sz w:val="22"/>
          <w:szCs w:val="22"/>
        </w:rPr>
        <w:t>1</w:t>
      </w:r>
      <w:r w:rsidR="00737002">
        <w:rPr>
          <w:rFonts w:ascii="Calibri" w:hAnsi="Calibri" w:cs="Calibri"/>
          <w:sz w:val="22"/>
          <w:szCs w:val="22"/>
        </w:rPr>
        <w:t xml:space="preserve"> </w:t>
      </w:r>
      <w:r w:rsidR="002F7CF6">
        <w:rPr>
          <w:rFonts w:ascii="Calibri" w:hAnsi="Calibri" w:cs="Calibri"/>
          <w:sz w:val="22"/>
          <w:szCs w:val="22"/>
        </w:rPr>
        <w:t>à un</w:t>
      </w:r>
      <w:r w:rsidR="00737002">
        <w:rPr>
          <w:rFonts w:ascii="Calibri" w:hAnsi="Calibri" w:cs="Calibri"/>
          <w:sz w:val="22"/>
          <w:szCs w:val="22"/>
        </w:rPr>
        <w:t xml:space="preserve"> ingénieur des ponts et </w:t>
      </w:r>
      <w:r w:rsidR="002F7CF6">
        <w:rPr>
          <w:rFonts w:ascii="Calibri" w:hAnsi="Calibri" w:cs="Calibri"/>
          <w:sz w:val="22"/>
          <w:szCs w:val="22"/>
        </w:rPr>
        <w:t>4</w:t>
      </w:r>
      <w:r w:rsidR="00737002">
        <w:rPr>
          <w:rFonts w:ascii="Calibri" w:hAnsi="Calibri" w:cs="Calibri"/>
          <w:sz w:val="22"/>
          <w:szCs w:val="22"/>
        </w:rPr>
        <w:t xml:space="preserve">  des élèves -ingénieurs). S’agissant des </w:t>
      </w:r>
      <w:r w:rsidR="002F7CF6">
        <w:rPr>
          <w:rFonts w:ascii="Calibri" w:hAnsi="Calibri" w:cs="Calibri"/>
          <w:sz w:val="22"/>
          <w:szCs w:val="22"/>
        </w:rPr>
        <w:t>2</w:t>
      </w:r>
      <w:r w:rsidR="00737002">
        <w:rPr>
          <w:rFonts w:ascii="Calibri" w:hAnsi="Calibri" w:cs="Calibri"/>
          <w:sz w:val="22"/>
          <w:szCs w:val="22"/>
        </w:rPr>
        <w:t xml:space="preserve"> autres, </w:t>
      </w:r>
      <w:r w:rsidR="002F7CF6">
        <w:rPr>
          <w:rFonts w:ascii="Calibri" w:hAnsi="Calibri" w:cs="Calibri"/>
          <w:sz w:val="22"/>
          <w:szCs w:val="22"/>
        </w:rPr>
        <w:t xml:space="preserve">ils </w:t>
      </w:r>
      <w:r w:rsidR="00737002">
        <w:rPr>
          <w:rFonts w:ascii="Calibri" w:hAnsi="Calibri" w:cs="Calibri"/>
          <w:sz w:val="22"/>
          <w:szCs w:val="22"/>
        </w:rPr>
        <w:t>ont fait l’objet de premiers remboursements</w:t>
      </w:r>
      <w:r w:rsidR="000158F1">
        <w:rPr>
          <w:rFonts w:ascii="Calibri" w:hAnsi="Calibri" w:cs="Calibri"/>
          <w:sz w:val="22"/>
          <w:szCs w:val="22"/>
        </w:rPr>
        <w:t>,</w:t>
      </w:r>
      <w:r w:rsidR="00737002">
        <w:rPr>
          <w:rFonts w:ascii="Calibri" w:hAnsi="Calibri" w:cs="Calibri"/>
          <w:sz w:val="22"/>
          <w:szCs w:val="22"/>
        </w:rPr>
        <w:t xml:space="preserve"> arrêtés depuis 2018, il reste 6500 € à rembourser. </w:t>
      </w:r>
      <w:r w:rsidR="002F7CF6">
        <w:rPr>
          <w:rFonts w:ascii="Calibri" w:hAnsi="Calibri" w:cs="Calibri"/>
          <w:sz w:val="22"/>
          <w:szCs w:val="22"/>
        </w:rPr>
        <w:t xml:space="preserve">Nous avons fait des relances à ce jour sans retour, sauf de la part de </w:t>
      </w:r>
      <w:r w:rsidR="002F7CF6" w:rsidRPr="002F7CF6">
        <w:rPr>
          <w:rFonts w:ascii="Calibri" w:hAnsi="Calibri" w:cs="Calibri"/>
          <w:sz w:val="22"/>
          <w:szCs w:val="22"/>
        </w:rPr>
        <w:t>Joseph ROSENSKY</w:t>
      </w:r>
      <w:r w:rsidR="002F7CF6">
        <w:rPr>
          <w:rFonts w:ascii="Calibri" w:hAnsi="Calibri" w:cs="Calibri"/>
          <w:sz w:val="22"/>
          <w:szCs w:val="22"/>
        </w:rPr>
        <w:t xml:space="preserve">, qui doit encore 2700 € provisionnés à 100 %  et qui pourrait reprendre le remboursement en 2023 ou 2024. </w:t>
      </w:r>
    </w:p>
    <w:p w14:paraId="1E15608F" w14:textId="116BCC78" w:rsidR="00737002" w:rsidRDefault="00737002" w:rsidP="00737002">
      <w:pPr>
        <w:pStyle w:val="NormalWeb"/>
        <w:jc w:val="both"/>
        <w:rPr>
          <w:rFonts w:ascii="Calibri" w:hAnsi="Calibri" w:cs="Calibri"/>
          <w:sz w:val="22"/>
          <w:szCs w:val="22"/>
        </w:rPr>
      </w:pPr>
      <w:r>
        <w:rPr>
          <w:rFonts w:ascii="Calibri" w:hAnsi="Calibri" w:cs="Calibri"/>
          <w:sz w:val="22"/>
          <w:szCs w:val="22"/>
        </w:rPr>
        <w:t>En conséquence, le compte de résultats et le bilan se présentent ainsi</w:t>
      </w:r>
      <w:r w:rsidR="000158F1">
        <w:rPr>
          <w:rFonts w:ascii="Calibri" w:hAnsi="Calibri" w:cs="Calibri"/>
          <w:sz w:val="22"/>
          <w:szCs w:val="22"/>
        </w:rPr>
        <w:t> :</w:t>
      </w:r>
    </w:p>
    <w:p w14:paraId="0B1B72D2" w14:textId="04559292" w:rsidR="004906A0" w:rsidRDefault="004906A0" w:rsidP="00737002">
      <w:pPr>
        <w:pStyle w:val="NormalWeb"/>
        <w:jc w:val="both"/>
        <w:rPr>
          <w:rFonts w:ascii="Calibri" w:hAnsi="Calibri" w:cs="Calibri"/>
          <w:sz w:val="22"/>
          <w:szCs w:val="22"/>
        </w:rPr>
      </w:pPr>
      <w:r w:rsidRPr="004906A0">
        <w:rPr>
          <w:noProof/>
          <w:lang w:eastAsia="fr-FR"/>
        </w:rPr>
        <w:drawing>
          <wp:inline distT="0" distB="0" distL="0" distR="0" wp14:anchorId="60678B35" wp14:editId="7AD67B92">
            <wp:extent cx="5760720" cy="1514475"/>
            <wp:effectExtent l="0" t="0" r="0" b="9525"/>
            <wp:docPr id="1434409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514475"/>
                    </a:xfrm>
                    <a:prstGeom prst="rect">
                      <a:avLst/>
                    </a:prstGeom>
                    <a:noFill/>
                    <a:ln>
                      <a:noFill/>
                    </a:ln>
                  </pic:spPr>
                </pic:pic>
              </a:graphicData>
            </a:graphic>
          </wp:inline>
        </w:drawing>
      </w:r>
    </w:p>
    <w:p w14:paraId="7607E0D1" w14:textId="3AD59508" w:rsidR="000158F1" w:rsidRDefault="000158F1" w:rsidP="00737002">
      <w:pPr>
        <w:pStyle w:val="NormalWeb"/>
        <w:jc w:val="both"/>
        <w:rPr>
          <w:rFonts w:ascii="Calibri" w:hAnsi="Calibri" w:cs="Calibri"/>
          <w:sz w:val="22"/>
          <w:szCs w:val="22"/>
        </w:rPr>
      </w:pPr>
      <w:r w:rsidRPr="000158F1">
        <w:rPr>
          <w:noProof/>
          <w:lang w:eastAsia="fr-FR"/>
        </w:rPr>
        <w:drawing>
          <wp:inline distT="0" distB="0" distL="0" distR="0" wp14:anchorId="4F4E04F0" wp14:editId="68A7FD27">
            <wp:extent cx="5760720" cy="1132205"/>
            <wp:effectExtent l="0" t="0" r="0" b="0"/>
            <wp:docPr id="736873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132205"/>
                    </a:xfrm>
                    <a:prstGeom prst="rect">
                      <a:avLst/>
                    </a:prstGeom>
                    <a:noFill/>
                    <a:ln>
                      <a:noFill/>
                    </a:ln>
                  </pic:spPr>
                </pic:pic>
              </a:graphicData>
            </a:graphic>
          </wp:inline>
        </w:drawing>
      </w:r>
    </w:p>
    <w:p w14:paraId="2D203FD2" w14:textId="56E16044" w:rsidR="000158F1" w:rsidRDefault="000158F1" w:rsidP="00737002">
      <w:pPr>
        <w:pStyle w:val="NormalWeb"/>
        <w:jc w:val="both"/>
        <w:rPr>
          <w:rFonts w:ascii="Calibri" w:hAnsi="Calibri" w:cs="Calibri"/>
          <w:sz w:val="22"/>
          <w:szCs w:val="22"/>
        </w:rPr>
      </w:pPr>
      <w:r>
        <w:rPr>
          <w:rFonts w:ascii="Calibri" w:hAnsi="Calibri" w:cs="Calibri"/>
          <w:sz w:val="22"/>
          <w:szCs w:val="22"/>
        </w:rPr>
        <w:t xml:space="preserve">Le budget 2023 devrait présenter un excédent sous réserve de la bonne tenue de la bourse. Par ailleurs, le bureau cherchera fin 2023 un placement qui prendra la suite de celui auprès de la CNE. Il tiendra compte du bilan, à ce jour très mitigé, de ce placement dans les négociations qu’il mènera avec les banques. Il cherchera le meilleur compromis entre garantie de maintien du capital et rendement.  </w:t>
      </w:r>
      <w:r w:rsidR="00DA4220">
        <w:rPr>
          <w:rFonts w:ascii="Calibri" w:hAnsi="Calibri" w:cs="Calibri"/>
          <w:sz w:val="22"/>
          <w:szCs w:val="22"/>
        </w:rPr>
        <w:t>Ce budget ne prend pas en compte la reprise des engagements de l’AEOI et le boni y afférent.</w:t>
      </w:r>
    </w:p>
    <w:p w14:paraId="567EFDA1" w14:textId="5EE3ACBE" w:rsidR="000158F1" w:rsidRDefault="000158F1" w:rsidP="00737002">
      <w:pPr>
        <w:pStyle w:val="NormalWeb"/>
        <w:jc w:val="both"/>
        <w:rPr>
          <w:rFonts w:ascii="Calibri" w:hAnsi="Calibri" w:cs="Calibri"/>
          <w:sz w:val="22"/>
          <w:szCs w:val="22"/>
        </w:rPr>
      </w:pPr>
      <w:r w:rsidRPr="000158F1">
        <w:rPr>
          <w:noProof/>
          <w:lang w:eastAsia="fr-FR"/>
        </w:rPr>
        <w:drawing>
          <wp:inline distT="0" distB="0" distL="0" distR="0" wp14:anchorId="2E4FE4C7" wp14:editId="67652BD2">
            <wp:extent cx="5760720" cy="1668780"/>
            <wp:effectExtent l="0" t="0" r="0" b="7620"/>
            <wp:docPr id="208304307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668780"/>
                    </a:xfrm>
                    <a:prstGeom prst="rect">
                      <a:avLst/>
                    </a:prstGeom>
                    <a:noFill/>
                    <a:ln>
                      <a:noFill/>
                    </a:ln>
                  </pic:spPr>
                </pic:pic>
              </a:graphicData>
            </a:graphic>
          </wp:inline>
        </w:drawing>
      </w:r>
    </w:p>
    <w:p w14:paraId="35261DF9" w14:textId="6738EB48" w:rsidR="00737002" w:rsidRDefault="007C0828" w:rsidP="00737002">
      <w:pPr>
        <w:pStyle w:val="NormalWeb"/>
        <w:jc w:val="both"/>
        <w:rPr>
          <w:rFonts w:ascii="Calibri" w:hAnsi="Calibri" w:cs="Calibri"/>
          <w:sz w:val="22"/>
          <w:szCs w:val="22"/>
        </w:rPr>
      </w:pPr>
      <w:r>
        <w:rPr>
          <w:rFonts w:ascii="Calibri" w:hAnsi="Calibri" w:cs="Calibri"/>
          <w:sz w:val="22"/>
          <w:szCs w:val="22"/>
        </w:rPr>
        <w:t>Le trésorier</w:t>
      </w:r>
    </w:p>
    <w:p w14:paraId="1258B300" w14:textId="7330A3EF" w:rsidR="00AC49BC" w:rsidRDefault="007C0828" w:rsidP="00AC49BC">
      <w:pPr>
        <w:pStyle w:val="NormalWeb"/>
        <w:jc w:val="both"/>
        <w:rPr>
          <w:rFonts w:asciiTheme="minorHAnsi" w:hAnsiTheme="minorHAnsi" w:cstheme="minorHAnsi"/>
          <w:sz w:val="22"/>
          <w:szCs w:val="22"/>
        </w:rPr>
      </w:pPr>
      <w:r>
        <w:rPr>
          <w:rFonts w:ascii="Calibri" w:hAnsi="Calibri" w:cs="Calibri"/>
          <w:sz w:val="22"/>
          <w:szCs w:val="22"/>
        </w:rPr>
        <w:t>Marc Sandrin</w:t>
      </w:r>
    </w:p>
    <w:sectPr w:rsidR="00AC49BC">
      <w:footerReference w:type="default" r:id="rId11"/>
      <w:pgSz w:w="11906" w:h="16838"/>
      <w:pgMar w:top="1417" w:right="1417" w:bottom="1417" w:left="141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27CE5" w14:textId="77777777" w:rsidR="00502703" w:rsidRDefault="00502703">
      <w:r>
        <w:separator/>
      </w:r>
    </w:p>
  </w:endnote>
  <w:endnote w:type="continuationSeparator" w:id="0">
    <w:p w14:paraId="5E9B1FD2" w14:textId="77777777" w:rsidR="00502703" w:rsidRDefault="0050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0C52" w14:textId="77777777" w:rsidR="00456A6A" w:rsidRDefault="001E6AA8">
    <w:pPr>
      <w:pStyle w:val="Pieddepage"/>
      <w:jc w:val="center"/>
      <w:rPr>
        <w:rFonts w:asciiTheme="minorHAnsi" w:hAnsiTheme="minorHAnsi" w:cstheme="minorHAnsi"/>
        <w:color w:val="1D1B11" w:themeColor="background2" w:themeShade="1A"/>
        <w:sz w:val="20"/>
        <w:szCs w:val="20"/>
      </w:rPr>
    </w:pPr>
    <w:r>
      <w:rPr>
        <w:noProof/>
        <w:lang w:eastAsia="fr-FR"/>
      </w:rPr>
      <mc:AlternateContent>
        <mc:Choice Requires="wps">
          <w:drawing>
            <wp:anchor distT="0" distB="0" distL="0" distR="0" simplePos="0" relativeHeight="7" behindDoc="1" locked="0" layoutInCell="1" allowOverlap="1" wp14:anchorId="2432997C" wp14:editId="4437028A">
              <wp:simplePos x="0" y="0"/>
              <wp:positionH relativeFrom="rightMargin">
                <wp:align>left</wp:align>
              </wp:positionH>
              <wp:positionV relativeFrom="page">
                <wp:posOffset>9855200</wp:posOffset>
              </wp:positionV>
              <wp:extent cx="370840" cy="276860"/>
              <wp:effectExtent l="0" t="0" r="12700" b="11430"/>
              <wp:wrapNone/>
              <wp:docPr id="1" name="Carré corné 1"/>
              <wp:cNvGraphicFramePr/>
              <a:graphic xmlns:a="http://schemas.openxmlformats.org/drawingml/2006/main">
                <a:graphicData uri="http://schemas.microsoft.com/office/word/2010/wordprocessingShape">
                  <wps:wsp>
                    <wps:cNvSpPr/>
                    <wps:spPr>
                      <a:xfrm>
                        <a:off x="0" y="0"/>
                        <a:ext cx="370080" cy="276120"/>
                      </a:xfrm>
                      <a:prstGeom prst="foldedCorner">
                        <a:avLst>
                          <a:gd name="adj" fmla="val 34560"/>
                        </a:avLst>
                      </a:prstGeom>
                      <a:solidFill>
                        <a:srgbClr val="FFFFFF"/>
                      </a:solidFill>
                      <a:ln w="3240">
                        <a:solidFill>
                          <a:schemeClr val="tx1">
                            <a:lumMod val="50000"/>
                            <a:lumOff val="50000"/>
                          </a:schemeClr>
                        </a:solidFill>
                        <a:round/>
                      </a:ln>
                    </wps:spPr>
                    <wps:style>
                      <a:lnRef idx="0">
                        <a:scrgbClr r="0" g="0" b="0"/>
                      </a:lnRef>
                      <a:fillRef idx="0">
                        <a:scrgbClr r="0" g="0" b="0"/>
                      </a:fillRef>
                      <a:effectRef idx="0">
                        <a:scrgbClr r="0" g="0" b="0"/>
                      </a:effectRef>
                      <a:fontRef idx="minor"/>
                    </wps:style>
                    <wps:txbx>
                      <w:txbxContent>
                        <w:sdt>
                          <w:sdtPr>
                            <w:id w:val="395410214"/>
                            <w:docPartObj>
                              <w:docPartGallery w:val="Page Numbers (Bottom of Page)"/>
                              <w:docPartUnique/>
                            </w:docPartObj>
                          </w:sdtPr>
                          <w:sdtEndPr/>
                          <w:sdtContent>
                            <w:p w14:paraId="0D692F78" w14:textId="3ECA7F76" w:rsidR="00456A6A" w:rsidRDefault="001E6AA8">
                              <w:pPr>
                                <w:pStyle w:val="Contenudecadre"/>
                                <w:jc w:val="center"/>
                                <w:rPr>
                                  <w:color w:val="000000"/>
                                </w:rPr>
                              </w:pPr>
                              <w:r>
                                <w:rPr>
                                  <w:color w:val="000000"/>
                                </w:rPr>
                                <w:fldChar w:fldCharType="begin"/>
                              </w:r>
                              <w:r>
                                <w:rPr>
                                  <w:color w:val="000000"/>
                                </w:rPr>
                                <w:instrText>PAGE</w:instrText>
                              </w:r>
                              <w:r>
                                <w:rPr>
                                  <w:color w:val="000000"/>
                                </w:rPr>
                                <w:fldChar w:fldCharType="separate"/>
                              </w:r>
                              <w:r w:rsidR="00C71ABF">
                                <w:rPr>
                                  <w:noProof/>
                                  <w:color w:val="000000"/>
                                </w:rPr>
                                <w:t>2</w:t>
                              </w:r>
                              <w:r>
                                <w:rPr>
                                  <w:color w:val="000000"/>
                                </w:rPr>
                                <w:fldChar w:fldCharType="end"/>
                              </w:r>
                            </w:p>
                          </w:sdtContent>
                        </w:sdt>
                      </w:txbxContent>
                    </wps:txbx>
                    <wps:bodyPr>
                      <a:noAutofit/>
                    </wps:bodyPr>
                  </wps:wsp>
                </a:graphicData>
              </a:graphic>
            </wp:anchor>
          </w:drawing>
        </mc:Choice>
        <mc:Fallback>
          <w:pict>
            <v:shapetype w14:anchorId="2432997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left:0;text-align:left;margin-left:0;margin-top:776pt;width:29.2pt;height:21.8pt;z-index:-503316473;visibility:visible;mso-wrap-style:square;mso-wrap-distance-left:0;mso-wrap-distance-top:0;mso-wrap-distance-right:0;mso-wrap-distance-bottom:0;mso-position-horizontal:left;mso-position-horizontal-relative:righ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" adj="14135" strokecolor="gray [1629]" strokeweight=".09mm">
              <v:textbox>
                <w:txbxContent>
                  <w:sdt>
                    <w:sdtPr>
                      <w:id w:val="395410214"/>
                      <w:docPartObj>
                        <w:docPartGallery w:val="Page Numbers (Bottom of Page)"/>
                        <w:docPartUnique/>
                      </w:docPartObj>
                    </w:sdtPr>
                    <w:sdtEndPr/>
                    <w:sdtContent>
                      <w:p w14:paraId="0D692F78" w14:textId="3ECA7F76" w:rsidR="00456A6A" w:rsidRDefault="001E6AA8">
                        <w:pPr>
                          <w:pStyle w:val="Contenudecadre"/>
                          <w:jc w:val="center"/>
                          <w:rPr>
                            <w:color w:val="000000"/>
                          </w:rPr>
                        </w:pPr>
                        <w:r>
                          <w:rPr>
                            <w:color w:val="000000"/>
                          </w:rPr>
                          <w:fldChar w:fldCharType="begin"/>
                        </w:r>
                        <w:r>
                          <w:rPr>
                            <w:color w:val="000000"/>
                          </w:rPr>
                          <w:instrText>PAGE</w:instrText>
                        </w:r>
                        <w:r>
                          <w:rPr>
                            <w:color w:val="000000"/>
                          </w:rPr>
                          <w:fldChar w:fldCharType="separate"/>
                        </w:r>
                        <w:r w:rsidR="00C71ABF">
                          <w:rPr>
                            <w:noProof/>
                            <w:color w:val="000000"/>
                          </w:rPr>
                          <w:t>2</w:t>
                        </w:r>
                        <w:r>
                          <w:rPr>
                            <w:color w:val="000000"/>
                          </w:rPr>
                          <w:fldChar w:fldCharType="end"/>
                        </w:r>
                      </w:p>
                    </w:sdtContent>
                  </w:sdt>
                </w:txbxContent>
              </v:textbox>
              <w10:wrap anchorx="margin" anchory="page"/>
            </v:shape>
          </w:pict>
        </mc:Fallback>
      </mc:AlternateContent>
    </w:r>
    <w:r>
      <w:rPr>
        <w:rFonts w:asciiTheme="minorHAnsi" w:hAnsiTheme="minorHAnsi" w:cstheme="minorHAnsi"/>
        <w:color w:val="1D1B11" w:themeColor="background2" w:themeShade="1A"/>
        <w:sz w:val="20"/>
        <w:szCs w:val="20"/>
      </w:rPr>
      <w:t xml:space="preserve">SAIPC,  </w:t>
    </w:r>
    <w:r>
      <w:rPr>
        <w:rFonts w:ascii="Calibri" w:hAnsi="Calibri" w:cs="Calibri"/>
        <w:color w:val="000000"/>
        <w:sz w:val="22"/>
        <w:szCs w:val="22"/>
        <w:lang w:eastAsia="en-US"/>
      </w:rPr>
      <w:t xml:space="preserve">42 rue Boissière 75116, </w:t>
    </w:r>
    <w:r>
      <w:rPr>
        <w:rFonts w:asciiTheme="minorHAnsi" w:hAnsiTheme="minorHAnsi" w:cstheme="minorHAnsi"/>
        <w:color w:val="1D1B11" w:themeColor="background2" w:themeShade="1A"/>
        <w:sz w:val="20"/>
        <w:szCs w:val="20"/>
      </w:rPr>
      <w:t xml:space="preserve">Paris,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20E15" w14:textId="77777777" w:rsidR="00502703" w:rsidRDefault="00502703">
      <w:r>
        <w:separator/>
      </w:r>
    </w:p>
  </w:footnote>
  <w:footnote w:type="continuationSeparator" w:id="0">
    <w:p w14:paraId="2A7B21A6" w14:textId="77777777" w:rsidR="00502703" w:rsidRDefault="00502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CBF"/>
    <w:multiLevelType w:val="multilevel"/>
    <w:tmpl w:val="5F6AC776"/>
    <w:lvl w:ilvl="0">
      <w:start w:val="1"/>
      <w:numFmt w:val="bullet"/>
      <w:lvlText w:val="-"/>
      <w:lvlJc w:val="left"/>
      <w:pPr>
        <w:ind w:left="1440" w:hanging="360"/>
      </w:pPr>
      <w:rPr>
        <w:rFonts w:ascii="Calibri" w:hAnsi="Calibri" w:cs="Calibri"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0F1E2FD8"/>
    <w:multiLevelType w:val="multilevel"/>
    <w:tmpl w:val="4F54B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220F33"/>
    <w:multiLevelType w:val="multilevel"/>
    <w:tmpl w:val="AD2CE900"/>
    <w:lvl w:ilvl="0">
      <w:numFmt w:val="bullet"/>
      <w:lvlText w:val="-"/>
      <w:lvlJc w:val="left"/>
      <w:pPr>
        <w:ind w:left="1440" w:hanging="360"/>
      </w:pPr>
      <w:rPr>
        <w:rFonts w:ascii="Calibri" w:hAnsi="Calibri" w:cs="Calibri" w:hint="default"/>
      </w:rPr>
    </w:lvl>
    <w:lvl w:ilvl="1">
      <w:start w:val="1"/>
      <w:numFmt w:val="bullet"/>
      <w:lvlText w:val="-"/>
      <w:lvlJc w:val="left"/>
      <w:pPr>
        <w:ind w:left="2160" w:hanging="360"/>
      </w:pPr>
      <w:rPr>
        <w:rFonts w:ascii="Calibri" w:hAnsi="Calibri" w:cs="Calibri"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301C4D1A"/>
    <w:multiLevelType w:val="multilevel"/>
    <w:tmpl w:val="4718CD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180370F"/>
    <w:multiLevelType w:val="multilevel"/>
    <w:tmpl w:val="DAB4B28E"/>
    <w:lvl w:ilvl="0">
      <w:start w:val="1"/>
      <w:numFmt w:val="bullet"/>
      <w:lvlText w:val="-"/>
      <w:lvlJc w:val="left"/>
      <w:pPr>
        <w:ind w:left="1428" w:hanging="360"/>
      </w:pPr>
      <w:rPr>
        <w:rFonts w:ascii="Calibri" w:hAnsi="Calibri" w:cs="Calibri"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5" w15:restartNumberingAfterBreak="0">
    <w:nsid w:val="39010E06"/>
    <w:multiLevelType w:val="multilevel"/>
    <w:tmpl w:val="6EB0B292"/>
    <w:lvl w:ilvl="0">
      <w:start w:val="1"/>
      <w:numFmt w:val="bullet"/>
      <w:lvlText w:val="-"/>
      <w:lvlJc w:val="left"/>
      <w:pPr>
        <w:ind w:left="1776" w:hanging="360"/>
      </w:pPr>
      <w:rPr>
        <w:rFonts w:ascii="Calibri" w:hAnsi="Calibri" w:cs="Calibri" w:hint="default"/>
        <w:sz w:val="22"/>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6" w15:restartNumberingAfterBreak="0">
    <w:nsid w:val="579A028B"/>
    <w:multiLevelType w:val="multilevel"/>
    <w:tmpl w:val="841CB2BA"/>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0"/>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6A"/>
    <w:rsid w:val="00004312"/>
    <w:rsid w:val="00004BC0"/>
    <w:rsid w:val="00004BF7"/>
    <w:rsid w:val="00010151"/>
    <w:rsid w:val="000158F1"/>
    <w:rsid w:val="00031DE6"/>
    <w:rsid w:val="00042AD0"/>
    <w:rsid w:val="000571C3"/>
    <w:rsid w:val="000610CA"/>
    <w:rsid w:val="0006544F"/>
    <w:rsid w:val="000F442D"/>
    <w:rsid w:val="000F4F64"/>
    <w:rsid w:val="000F7977"/>
    <w:rsid w:val="00133E66"/>
    <w:rsid w:val="00145ABF"/>
    <w:rsid w:val="00153F47"/>
    <w:rsid w:val="00155EF4"/>
    <w:rsid w:val="00160A42"/>
    <w:rsid w:val="00177333"/>
    <w:rsid w:val="00191583"/>
    <w:rsid w:val="001933DA"/>
    <w:rsid w:val="001938DD"/>
    <w:rsid w:val="00193D94"/>
    <w:rsid w:val="0019419C"/>
    <w:rsid w:val="001A697C"/>
    <w:rsid w:val="001B79E8"/>
    <w:rsid w:val="001C1238"/>
    <w:rsid w:val="001C3C40"/>
    <w:rsid w:val="001C53EA"/>
    <w:rsid w:val="001D1EB2"/>
    <w:rsid w:val="001D533A"/>
    <w:rsid w:val="001E2932"/>
    <w:rsid w:val="001E6AA8"/>
    <w:rsid w:val="001F1CBC"/>
    <w:rsid w:val="001F6E2A"/>
    <w:rsid w:val="002577D2"/>
    <w:rsid w:val="00263CBF"/>
    <w:rsid w:val="002749A9"/>
    <w:rsid w:val="0029156A"/>
    <w:rsid w:val="0029736C"/>
    <w:rsid w:val="002A6D32"/>
    <w:rsid w:val="002B6E12"/>
    <w:rsid w:val="002C27CC"/>
    <w:rsid w:val="002F7CF6"/>
    <w:rsid w:val="003053E7"/>
    <w:rsid w:val="00307734"/>
    <w:rsid w:val="003172B4"/>
    <w:rsid w:val="00317BEB"/>
    <w:rsid w:val="00326858"/>
    <w:rsid w:val="003353FA"/>
    <w:rsid w:val="003449A2"/>
    <w:rsid w:val="00356458"/>
    <w:rsid w:val="003645E5"/>
    <w:rsid w:val="00364CAD"/>
    <w:rsid w:val="00386087"/>
    <w:rsid w:val="00394945"/>
    <w:rsid w:val="003C67DA"/>
    <w:rsid w:val="003E235B"/>
    <w:rsid w:val="003E28F2"/>
    <w:rsid w:val="003E460C"/>
    <w:rsid w:val="003F0603"/>
    <w:rsid w:val="004011B1"/>
    <w:rsid w:val="0042365F"/>
    <w:rsid w:val="004328DC"/>
    <w:rsid w:val="00456A6A"/>
    <w:rsid w:val="004851AF"/>
    <w:rsid w:val="004906A0"/>
    <w:rsid w:val="00492B95"/>
    <w:rsid w:val="004A60F9"/>
    <w:rsid w:val="004D7BC9"/>
    <w:rsid w:val="00502703"/>
    <w:rsid w:val="00505890"/>
    <w:rsid w:val="005221F8"/>
    <w:rsid w:val="005472AE"/>
    <w:rsid w:val="0059203B"/>
    <w:rsid w:val="005E3E15"/>
    <w:rsid w:val="005F2A05"/>
    <w:rsid w:val="005F6BD6"/>
    <w:rsid w:val="00626E23"/>
    <w:rsid w:val="006644CA"/>
    <w:rsid w:val="0067072B"/>
    <w:rsid w:val="006739A3"/>
    <w:rsid w:val="00687234"/>
    <w:rsid w:val="00687635"/>
    <w:rsid w:val="006916C4"/>
    <w:rsid w:val="006A2DF1"/>
    <w:rsid w:val="006B2E9F"/>
    <w:rsid w:val="006B34B5"/>
    <w:rsid w:val="006B543F"/>
    <w:rsid w:val="006C1587"/>
    <w:rsid w:val="006D3FFA"/>
    <w:rsid w:val="006F538E"/>
    <w:rsid w:val="0070081D"/>
    <w:rsid w:val="00716C76"/>
    <w:rsid w:val="00721406"/>
    <w:rsid w:val="007245F4"/>
    <w:rsid w:val="007330B6"/>
    <w:rsid w:val="00737002"/>
    <w:rsid w:val="00741F75"/>
    <w:rsid w:val="00742778"/>
    <w:rsid w:val="00760E80"/>
    <w:rsid w:val="00770205"/>
    <w:rsid w:val="0077135C"/>
    <w:rsid w:val="007778D3"/>
    <w:rsid w:val="007B167B"/>
    <w:rsid w:val="007B71F3"/>
    <w:rsid w:val="007C0828"/>
    <w:rsid w:val="007C6322"/>
    <w:rsid w:val="007D175C"/>
    <w:rsid w:val="007D4145"/>
    <w:rsid w:val="007F346C"/>
    <w:rsid w:val="0081128B"/>
    <w:rsid w:val="00817F18"/>
    <w:rsid w:val="00823EB7"/>
    <w:rsid w:val="008259AA"/>
    <w:rsid w:val="0085479F"/>
    <w:rsid w:val="00886A5F"/>
    <w:rsid w:val="008A292E"/>
    <w:rsid w:val="008A4D47"/>
    <w:rsid w:val="008B6298"/>
    <w:rsid w:val="008C690E"/>
    <w:rsid w:val="008E5540"/>
    <w:rsid w:val="009067AA"/>
    <w:rsid w:val="009119D1"/>
    <w:rsid w:val="00932FB9"/>
    <w:rsid w:val="00934F59"/>
    <w:rsid w:val="00977667"/>
    <w:rsid w:val="00986391"/>
    <w:rsid w:val="00992630"/>
    <w:rsid w:val="009930D6"/>
    <w:rsid w:val="009B0441"/>
    <w:rsid w:val="009B062A"/>
    <w:rsid w:val="009C69D0"/>
    <w:rsid w:val="009E2744"/>
    <w:rsid w:val="009E4F3C"/>
    <w:rsid w:val="00A21F5B"/>
    <w:rsid w:val="00A37035"/>
    <w:rsid w:val="00A62F49"/>
    <w:rsid w:val="00A874A6"/>
    <w:rsid w:val="00AB2290"/>
    <w:rsid w:val="00AC0C54"/>
    <w:rsid w:val="00AC49BC"/>
    <w:rsid w:val="00AD2B60"/>
    <w:rsid w:val="00AF459E"/>
    <w:rsid w:val="00B03435"/>
    <w:rsid w:val="00B22704"/>
    <w:rsid w:val="00B261C5"/>
    <w:rsid w:val="00B26A99"/>
    <w:rsid w:val="00B36595"/>
    <w:rsid w:val="00B739C2"/>
    <w:rsid w:val="00BE218A"/>
    <w:rsid w:val="00BF390D"/>
    <w:rsid w:val="00C01F03"/>
    <w:rsid w:val="00C067DB"/>
    <w:rsid w:val="00C1407B"/>
    <w:rsid w:val="00C229F3"/>
    <w:rsid w:val="00C235CA"/>
    <w:rsid w:val="00C41971"/>
    <w:rsid w:val="00C64E78"/>
    <w:rsid w:val="00C71ABF"/>
    <w:rsid w:val="00C85DF7"/>
    <w:rsid w:val="00C9513E"/>
    <w:rsid w:val="00C9702D"/>
    <w:rsid w:val="00CB26FD"/>
    <w:rsid w:val="00CB5983"/>
    <w:rsid w:val="00CB6B8A"/>
    <w:rsid w:val="00CB73CB"/>
    <w:rsid w:val="00CC3439"/>
    <w:rsid w:val="00CD72D1"/>
    <w:rsid w:val="00D42116"/>
    <w:rsid w:val="00D57155"/>
    <w:rsid w:val="00D5715A"/>
    <w:rsid w:val="00D6724E"/>
    <w:rsid w:val="00D81CF9"/>
    <w:rsid w:val="00D82451"/>
    <w:rsid w:val="00D93FF8"/>
    <w:rsid w:val="00D9710C"/>
    <w:rsid w:val="00DA4220"/>
    <w:rsid w:val="00E07130"/>
    <w:rsid w:val="00E17FAF"/>
    <w:rsid w:val="00E238DC"/>
    <w:rsid w:val="00E505CE"/>
    <w:rsid w:val="00E533C2"/>
    <w:rsid w:val="00E60980"/>
    <w:rsid w:val="00E60BB2"/>
    <w:rsid w:val="00E62C02"/>
    <w:rsid w:val="00E70975"/>
    <w:rsid w:val="00E74057"/>
    <w:rsid w:val="00E95FA2"/>
    <w:rsid w:val="00EB5FFB"/>
    <w:rsid w:val="00EC42AD"/>
    <w:rsid w:val="00ED7338"/>
    <w:rsid w:val="00EE19E4"/>
    <w:rsid w:val="00F049C9"/>
    <w:rsid w:val="00F2675A"/>
    <w:rsid w:val="00F37D3C"/>
    <w:rsid w:val="00F37EA7"/>
    <w:rsid w:val="00F4089A"/>
    <w:rsid w:val="00F545A1"/>
    <w:rsid w:val="00F55523"/>
    <w:rsid w:val="00F55A6F"/>
    <w:rsid w:val="00F659FE"/>
    <w:rsid w:val="00F826BC"/>
    <w:rsid w:val="00F91275"/>
    <w:rsid w:val="00FA623F"/>
    <w:rsid w:val="00FA697E"/>
    <w:rsid w:val="00FB6485"/>
    <w:rsid w:val="00FC2A68"/>
    <w:rsid w:val="00FC799C"/>
    <w:rsid w:val="00FF1ED6"/>
  </w:rsids>
  <m:mathPr>
    <m:mathFont m:val="Cambria Math"/>
    <m:brkBin m:val="before"/>
    <m:brkBinSub m:val="--"/>
    <m:smallFrac m:val="0"/>
    <m:dispDef/>
    <m:lMargin m:val="0"/>
    <m:rMargin m:val="0"/>
    <m:defJc m:val="centerGroup"/>
    <m:wrapIndent m:val="1440"/>
    <m:intLim m:val="subSup"/>
    <m:naryLim m:val="undOvr"/>
  </m:mathPr>
  <w:themeFontLang w:val="fr-F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8DD8"/>
  <w15:docId w15:val="{F2E98E25-DF35-4DDE-A3E4-B43D653F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C48"/>
    <w:rPr>
      <w:rFonts w:eastAsiaTheme="minorEastAsia"/>
      <w:color w:val="00000A"/>
      <w:sz w:val="24"/>
      <w:szCs w:val="24"/>
      <w:lang w:eastAsia="zh-CN"/>
    </w:rPr>
  </w:style>
  <w:style w:type="paragraph" w:styleId="Titre1">
    <w:name w:val="heading 1"/>
    <w:basedOn w:val="Normal"/>
    <w:next w:val="Normal"/>
    <w:link w:val="Titre1Car"/>
    <w:uiPriority w:val="9"/>
    <w:qFormat/>
    <w:rsid w:val="008D0C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8D0C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8D0C48"/>
    <w:rPr>
      <w:rFonts w:asciiTheme="majorHAnsi" w:eastAsiaTheme="majorEastAsia" w:hAnsiTheme="majorHAnsi" w:cstheme="majorBidi"/>
      <w:b/>
      <w:bCs/>
      <w:color w:val="365F91" w:themeColor="accent1" w:themeShade="BF"/>
      <w:sz w:val="28"/>
      <w:szCs w:val="28"/>
      <w:lang w:eastAsia="zh-CN"/>
    </w:rPr>
  </w:style>
  <w:style w:type="character" w:customStyle="1" w:styleId="Titre2Car">
    <w:name w:val="Titre 2 Car"/>
    <w:basedOn w:val="Policepardfaut"/>
    <w:link w:val="Titre2"/>
    <w:uiPriority w:val="9"/>
    <w:semiHidden/>
    <w:qFormat/>
    <w:rsid w:val="008D0C48"/>
    <w:rPr>
      <w:rFonts w:asciiTheme="majorHAnsi" w:eastAsiaTheme="majorEastAsia" w:hAnsiTheme="majorHAnsi" w:cstheme="majorBidi"/>
      <w:b/>
      <w:bCs/>
      <w:color w:val="4F81BD" w:themeColor="accent1"/>
      <w:sz w:val="26"/>
      <w:szCs w:val="26"/>
      <w:lang w:eastAsia="zh-CN"/>
    </w:rPr>
  </w:style>
  <w:style w:type="character" w:customStyle="1" w:styleId="PieddepageCar">
    <w:name w:val="Pied de page Car"/>
    <w:basedOn w:val="Policepardfaut"/>
    <w:link w:val="Pieddepage"/>
    <w:uiPriority w:val="99"/>
    <w:qFormat/>
    <w:rsid w:val="008D0C48"/>
    <w:rPr>
      <w:rFonts w:eastAsiaTheme="minorEastAsia"/>
      <w:sz w:val="24"/>
      <w:szCs w:val="24"/>
      <w:lang w:eastAsia="zh-CN"/>
    </w:rPr>
  </w:style>
  <w:style w:type="character" w:customStyle="1" w:styleId="LienInternet">
    <w:name w:val="Lien Internet"/>
    <w:basedOn w:val="Policepardfaut"/>
    <w:uiPriority w:val="99"/>
    <w:unhideWhenUsed/>
    <w:rsid w:val="008D0C48"/>
    <w:rPr>
      <w:color w:val="0000FF" w:themeColor="hyperlink"/>
      <w:u w:val="single"/>
    </w:rPr>
  </w:style>
  <w:style w:type="character" w:customStyle="1" w:styleId="TextedebullesCar">
    <w:name w:val="Texte de bulles Car"/>
    <w:basedOn w:val="Policepardfaut"/>
    <w:link w:val="Textedebulles"/>
    <w:qFormat/>
    <w:rsid w:val="001D5AEB"/>
    <w:rPr>
      <w:rFonts w:ascii="Tahoma" w:eastAsiaTheme="minorEastAsia" w:hAnsi="Tahoma" w:cs="Tahoma"/>
      <w:sz w:val="16"/>
      <w:szCs w:val="16"/>
      <w:lang w:eastAsia="zh-CN"/>
    </w:rPr>
  </w:style>
  <w:style w:type="character" w:customStyle="1" w:styleId="En-tteCar">
    <w:name w:val="En-tête Car"/>
    <w:basedOn w:val="Policepardfaut"/>
    <w:qFormat/>
    <w:rsid w:val="001C0942"/>
    <w:rPr>
      <w:rFonts w:eastAsiaTheme="minorEastAsia"/>
      <w:sz w:val="24"/>
      <w:szCs w:val="24"/>
      <w:lang w:eastAsia="zh-CN"/>
    </w:rPr>
  </w:style>
  <w:style w:type="character" w:styleId="Marquedecommentaire">
    <w:name w:val="annotation reference"/>
    <w:basedOn w:val="Policepardfaut"/>
    <w:qFormat/>
    <w:rsid w:val="00B2788F"/>
    <w:rPr>
      <w:sz w:val="16"/>
      <w:szCs w:val="16"/>
    </w:rPr>
  </w:style>
  <w:style w:type="character" w:customStyle="1" w:styleId="CommentaireCar">
    <w:name w:val="Commentaire Car"/>
    <w:basedOn w:val="Policepardfaut"/>
    <w:link w:val="Commentaire"/>
    <w:qFormat/>
    <w:rsid w:val="00B2788F"/>
    <w:rPr>
      <w:rFonts w:eastAsiaTheme="minorEastAsia"/>
      <w:lang w:eastAsia="zh-CN"/>
    </w:rPr>
  </w:style>
  <w:style w:type="character" w:customStyle="1" w:styleId="ObjetducommentaireCar">
    <w:name w:val="Objet du commentaire Car"/>
    <w:basedOn w:val="CommentaireCar"/>
    <w:link w:val="Objetducommentaire"/>
    <w:qFormat/>
    <w:rsid w:val="00B2788F"/>
    <w:rPr>
      <w:rFonts w:eastAsiaTheme="minorEastAsia"/>
      <w:b/>
      <w:bCs/>
      <w:lang w:eastAsia="zh-CN"/>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unhideWhenUsed/>
    <w:qFormat/>
    <w:rsid w:val="008D0C48"/>
    <w:pPr>
      <w:spacing w:beforeAutospacing="1" w:afterAutospacing="1"/>
    </w:pPr>
  </w:style>
  <w:style w:type="paragraph" w:customStyle="1" w:styleId="En-tteetpieddepage">
    <w:name w:val="En-tête et pied de page"/>
    <w:basedOn w:val="Normal"/>
    <w:qFormat/>
  </w:style>
  <w:style w:type="paragraph" w:styleId="Pieddepage">
    <w:name w:val="footer"/>
    <w:basedOn w:val="Normal"/>
    <w:link w:val="PieddepageCar"/>
    <w:uiPriority w:val="99"/>
    <w:unhideWhenUsed/>
    <w:rsid w:val="008D0C48"/>
    <w:pPr>
      <w:tabs>
        <w:tab w:val="center" w:pos="4536"/>
        <w:tab w:val="right" w:pos="9072"/>
      </w:tabs>
    </w:pPr>
  </w:style>
  <w:style w:type="paragraph" w:styleId="Paragraphedeliste">
    <w:name w:val="List Paragraph"/>
    <w:basedOn w:val="Normal"/>
    <w:uiPriority w:val="34"/>
    <w:qFormat/>
    <w:rsid w:val="008D0C48"/>
    <w:pPr>
      <w:ind w:left="720"/>
      <w:contextualSpacing/>
    </w:pPr>
  </w:style>
  <w:style w:type="paragraph" w:styleId="Textedebulles">
    <w:name w:val="Balloon Text"/>
    <w:basedOn w:val="Normal"/>
    <w:link w:val="TextedebullesCar"/>
    <w:qFormat/>
    <w:rsid w:val="001D5AEB"/>
    <w:rPr>
      <w:rFonts w:ascii="Tahoma" w:hAnsi="Tahoma" w:cs="Tahoma"/>
      <w:sz w:val="16"/>
      <w:szCs w:val="16"/>
    </w:rPr>
  </w:style>
  <w:style w:type="paragraph" w:styleId="En-tte">
    <w:name w:val="header"/>
    <w:basedOn w:val="Normal"/>
    <w:rsid w:val="001C0942"/>
    <w:pPr>
      <w:tabs>
        <w:tab w:val="center" w:pos="4536"/>
        <w:tab w:val="right" w:pos="9072"/>
      </w:tabs>
    </w:pPr>
  </w:style>
  <w:style w:type="paragraph" w:styleId="Commentaire">
    <w:name w:val="annotation text"/>
    <w:basedOn w:val="Normal"/>
    <w:link w:val="CommentaireCar"/>
    <w:qFormat/>
    <w:rsid w:val="00B2788F"/>
    <w:rPr>
      <w:sz w:val="20"/>
      <w:szCs w:val="20"/>
    </w:rPr>
  </w:style>
  <w:style w:type="paragraph" w:styleId="Objetducommentaire">
    <w:name w:val="annotation subject"/>
    <w:basedOn w:val="Commentaire"/>
    <w:link w:val="ObjetducommentaireCar"/>
    <w:qFormat/>
    <w:rsid w:val="00B2788F"/>
    <w:rPr>
      <w:b/>
      <w:bCs/>
    </w:rPr>
  </w:style>
  <w:style w:type="paragraph" w:styleId="Sansinterligne">
    <w:name w:val="No Spacing"/>
    <w:uiPriority w:val="1"/>
    <w:qFormat/>
    <w:rsid w:val="0084228F"/>
    <w:rPr>
      <w:rFonts w:eastAsiaTheme="minorHAnsi"/>
      <w:color w:val="000000"/>
      <w:sz w:val="24"/>
      <w:szCs w:val="24"/>
    </w:rPr>
  </w:style>
  <w:style w:type="paragraph" w:customStyle="1" w:styleId="m5691039032937378098msolistparagraph">
    <w:name w:val="m_5691039032937378098msolistparagraph"/>
    <w:basedOn w:val="Normal"/>
    <w:qFormat/>
    <w:rsid w:val="0099573C"/>
    <w:pPr>
      <w:spacing w:beforeAutospacing="1" w:afterAutospacing="1"/>
    </w:pPr>
    <w:rPr>
      <w:rFonts w:eastAsiaTheme="minorHAnsi"/>
      <w:lang w:eastAsia="fr-FR"/>
    </w:rPr>
  </w:style>
  <w:style w:type="paragraph" w:customStyle="1" w:styleId="Contenudecadre">
    <w:name w:val="Contenu de cadre"/>
    <w:basedOn w:val="Normal"/>
    <w:qFormat/>
  </w:style>
  <w:style w:type="paragraph" w:styleId="Notedebasdepage">
    <w:name w:val="footnote text"/>
    <w:basedOn w:val="Normal"/>
    <w:link w:val="NotedebasdepageCar"/>
    <w:semiHidden/>
    <w:unhideWhenUsed/>
    <w:rsid w:val="006916C4"/>
    <w:rPr>
      <w:sz w:val="20"/>
      <w:szCs w:val="20"/>
    </w:rPr>
  </w:style>
  <w:style w:type="character" w:customStyle="1" w:styleId="NotedebasdepageCar">
    <w:name w:val="Note de bas de page Car"/>
    <w:basedOn w:val="Policepardfaut"/>
    <w:link w:val="Notedebasdepage"/>
    <w:semiHidden/>
    <w:rsid w:val="006916C4"/>
    <w:rPr>
      <w:rFonts w:eastAsiaTheme="minorEastAsia"/>
      <w:color w:val="00000A"/>
      <w:lang w:eastAsia="zh-CN"/>
    </w:rPr>
  </w:style>
  <w:style w:type="character" w:styleId="Appelnotedebasdep">
    <w:name w:val="footnote reference"/>
    <w:basedOn w:val="Policepardfaut"/>
    <w:semiHidden/>
    <w:unhideWhenUsed/>
    <w:rsid w:val="006916C4"/>
    <w:rPr>
      <w:vertAlign w:val="superscript"/>
    </w:rPr>
  </w:style>
  <w:style w:type="character" w:styleId="Lienhypertexte">
    <w:name w:val="Hyperlink"/>
    <w:basedOn w:val="Policepardfaut"/>
    <w:uiPriority w:val="99"/>
    <w:unhideWhenUsed/>
    <w:rsid w:val="006916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C91B794BFE664BB3674F4A0249CBC7" ma:contentTypeVersion="18" ma:contentTypeDescription="Crée un document." ma:contentTypeScope="" ma:versionID="b5ad629e828352c7fe03a3c844d6c4fa">
  <xsd:schema xmlns:xsd="http://www.w3.org/2001/XMLSchema" xmlns:xs="http://www.w3.org/2001/XMLSchema" xmlns:p="http://schemas.microsoft.com/office/2006/metadata/properties" xmlns:ns2="4b86ae47-82da-4e34-a3d5-370149349a1a" xmlns:ns3="7fd265a7-d11c-487c-91b9-a6c82b4ba1f1" targetNamespace="http://schemas.microsoft.com/office/2006/metadata/properties" ma:root="true" ma:fieldsID="58490ffaa95b9f32b9140a97c4aa9615" ns2:_="" ns3:_="">
    <xsd:import namespace="4b86ae47-82da-4e34-a3d5-370149349a1a"/>
    <xsd:import namespace="7fd265a7-d11c-487c-91b9-a6c82b4ba1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6ae47-82da-4e34-a3d5-370149349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0d7c24d3-226c-43af-8423-40d46e5060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d265a7-d11c-487c-91b9-a6c82b4ba1f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8f3f1d6d-c365-45f8-9627-7d2bde1dae3e}" ma:internalName="TaxCatchAll" ma:showField="CatchAllData" ma:web="7fd265a7-d11c-487c-91b9-a6c82b4ba1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A9898-78C8-4D9A-B115-85BF9864F81B}">
  <ds:schemaRefs>
    <ds:schemaRef ds:uri="http://schemas.openxmlformats.org/officeDocument/2006/bibliography"/>
  </ds:schemaRefs>
</ds:datastoreItem>
</file>

<file path=customXml/itemProps2.xml><?xml version="1.0" encoding="utf-8"?>
<ds:datastoreItem xmlns:ds="http://schemas.openxmlformats.org/officeDocument/2006/customXml" ds:itemID="{EDF89BCC-B152-4A6C-9810-9C4F2E286425}"/>
</file>

<file path=customXml/itemProps3.xml><?xml version="1.0" encoding="utf-8"?>
<ds:datastoreItem xmlns:ds="http://schemas.openxmlformats.org/officeDocument/2006/customXml" ds:itemID="{E94CDD96-9BB7-4DCF-B4A0-50E603DB6EAB}"/>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3467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AUVERLOT Dominique</dc:creator>
  <dc:description/>
  <cp:lastModifiedBy>AUVERLOT Dominique</cp:lastModifiedBy>
  <cp:revision>2</cp:revision>
  <dcterms:created xsi:type="dcterms:W3CDTF">2023-05-29T16:12:00Z</dcterms:created>
  <dcterms:modified xsi:type="dcterms:W3CDTF">2023-05-29T16:12:00Z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