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D7" w:rsidRDefault="003042D7" w:rsidP="003042D7">
      <w:pPr>
        <w:autoSpaceDE w:val="0"/>
        <w:rPr>
          <w:rFonts w:ascii="Tahoma" w:hAnsi="Tahoma" w:cs="Tahoma"/>
          <w:i/>
          <w:color w:val="943634"/>
          <w:spacing w:val="40"/>
          <w:sz w:val="96"/>
          <w:szCs w:val="96"/>
        </w:rPr>
      </w:pPr>
      <w:r>
        <w:rPr>
          <w:rFonts w:ascii="Tahoma" w:hAnsi="Tahoma" w:cs="Tahoma"/>
          <w:i/>
          <w:color w:val="943634"/>
          <w:spacing w:val="40"/>
          <w:sz w:val="96"/>
          <w:szCs w:val="96"/>
        </w:rPr>
        <w:t>SAIPC</w:t>
      </w:r>
    </w:p>
    <w:p w:rsidR="003042D7" w:rsidRDefault="003042D7" w:rsidP="003042D7">
      <w:pPr>
        <w:spacing w:before="100" w:line="194" w:lineRule="auto"/>
        <w:ind w:left="142" w:right="74" w:hanging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Association reconnue d'utilité publique </w:t>
      </w:r>
    </w:p>
    <w:p w:rsidR="003042D7" w:rsidRDefault="003042D7" w:rsidP="003042D7">
      <w:pPr>
        <w:spacing w:before="100"/>
        <w:rPr>
          <w:rFonts w:asciiTheme="minorHAnsi" w:eastAsia="Times New Roman" w:hAnsiTheme="minorHAnsi" w:cstheme="minorBidi"/>
          <w:sz w:val="20"/>
          <w:szCs w:val="20"/>
        </w:rPr>
      </w:pPr>
      <w:r>
        <w:rPr>
          <w:rFonts w:eastAsia="Times New Roman"/>
          <w:sz w:val="20"/>
          <w:szCs w:val="20"/>
        </w:rPr>
        <w:t>Siège social : 42 rue Boissière 75116, Paris</w:t>
      </w:r>
    </w:p>
    <w:p w:rsidR="003042D7" w:rsidRDefault="003042D7" w:rsidP="003042D7">
      <w:pPr>
        <w:pStyle w:val="Sansinterligne"/>
        <w:spacing w:before="240"/>
        <w:rPr>
          <w:rFonts w:asciiTheme="minorHAnsi" w:eastAsia="Times New Roman" w:hAnsiTheme="minorHAnsi" w:cstheme="minorBidi"/>
          <w:sz w:val="20"/>
          <w:szCs w:val="20"/>
        </w:rPr>
      </w:pPr>
      <w:r>
        <w:rPr>
          <w:rFonts w:asciiTheme="minorHAnsi" w:eastAsia="Times New Roman" w:hAnsiTheme="minorHAnsi" w:cstheme="minorBidi"/>
          <w:sz w:val="20"/>
          <w:szCs w:val="20"/>
        </w:rPr>
        <w:t>01 53 63 32 80</w:t>
      </w:r>
    </w:p>
    <w:p w:rsidR="003042D7" w:rsidRDefault="003042D7" w:rsidP="003042D7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color w:val="595959" w:themeColor="text1" w:themeTint="A6"/>
          <w:sz w:val="20"/>
          <w:szCs w:val="20"/>
        </w:rPr>
      </w:pPr>
    </w:p>
    <w:p w:rsidR="009B2324" w:rsidRDefault="009B2324" w:rsidP="005E3324">
      <w:pPr>
        <w:pStyle w:val="Sansinterligne"/>
        <w:rPr>
          <w:rFonts w:ascii="Arial" w:hAnsi="Arial" w:cs="Arial"/>
          <w:color w:val="943634" w:themeColor="accent2" w:themeShade="BF"/>
        </w:rPr>
      </w:pPr>
    </w:p>
    <w:p w:rsidR="009B2324" w:rsidRDefault="009B2324" w:rsidP="005E3324">
      <w:pPr>
        <w:pStyle w:val="Sansinterligne"/>
        <w:rPr>
          <w:rFonts w:ascii="Arial" w:hAnsi="Arial" w:cs="Arial"/>
          <w:color w:val="943634" w:themeColor="accent2" w:themeShade="BF"/>
        </w:rPr>
      </w:pPr>
    </w:p>
    <w:p w:rsidR="009B2324" w:rsidRPr="009B2324" w:rsidRDefault="00D2105A" w:rsidP="00AD00C3">
      <w:pPr>
        <w:pStyle w:val="Titre"/>
        <w:jc w:val="center"/>
        <w:rPr>
          <w:rFonts w:eastAsia="Arial"/>
        </w:rPr>
      </w:pPr>
      <w:r>
        <w:rPr>
          <w:rFonts w:eastAsia="Arial"/>
          <w:w w:val="99"/>
        </w:rPr>
        <w:t>Assemblée Générale</w:t>
      </w:r>
      <w:r w:rsidR="009B2324" w:rsidRPr="009B2324">
        <w:rPr>
          <w:rFonts w:eastAsia="Arial"/>
          <w:spacing w:val="-19"/>
          <w:w w:val="107"/>
        </w:rPr>
        <w:t xml:space="preserve"> </w:t>
      </w:r>
      <w:r w:rsidR="009B2324" w:rsidRPr="009B2324">
        <w:rPr>
          <w:rFonts w:eastAsia="Arial"/>
        </w:rPr>
        <w:t xml:space="preserve">du </w:t>
      </w:r>
      <w:r w:rsidR="00FA4212">
        <w:rPr>
          <w:rFonts w:eastAsia="Arial"/>
        </w:rPr>
        <w:t>13</w:t>
      </w:r>
      <w:r w:rsidR="009B2324" w:rsidRPr="009B2324">
        <w:rPr>
          <w:rFonts w:eastAsia="Arial"/>
        </w:rPr>
        <w:t xml:space="preserve"> juin</w:t>
      </w:r>
      <w:r w:rsidR="009B2324" w:rsidRPr="009B2324">
        <w:rPr>
          <w:rFonts w:eastAsia="Arial"/>
          <w:spacing w:val="2"/>
        </w:rPr>
        <w:t xml:space="preserve"> </w:t>
      </w:r>
      <w:r w:rsidR="00FA4212">
        <w:rPr>
          <w:rFonts w:eastAsia="Arial"/>
        </w:rPr>
        <w:t>2023</w:t>
      </w:r>
    </w:p>
    <w:p w:rsidR="009B2324" w:rsidRPr="009B2324" w:rsidRDefault="009B2324" w:rsidP="009B2324">
      <w:pPr>
        <w:spacing w:before="3" w:line="120" w:lineRule="exact"/>
        <w:rPr>
          <w:rFonts w:ascii="Arial" w:hAnsi="Arial" w:cs="Arial"/>
          <w:color w:val="auto"/>
          <w:sz w:val="22"/>
          <w:szCs w:val="22"/>
        </w:rPr>
      </w:pPr>
    </w:p>
    <w:p w:rsidR="009B2324" w:rsidRPr="009B2324" w:rsidRDefault="009B2324" w:rsidP="009B2324">
      <w:pPr>
        <w:spacing w:line="200" w:lineRule="exact"/>
        <w:rPr>
          <w:rFonts w:ascii="Arial" w:hAnsi="Arial" w:cs="Arial"/>
          <w:color w:val="auto"/>
          <w:sz w:val="22"/>
          <w:szCs w:val="22"/>
        </w:rPr>
      </w:pPr>
    </w:p>
    <w:p w:rsidR="00737FF5" w:rsidRPr="00737FF5" w:rsidRDefault="00737FF5" w:rsidP="00737FF5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737FF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Résolutions</w:t>
      </w:r>
    </w:p>
    <w:p w:rsidR="00737FF5" w:rsidRPr="00737FF5" w:rsidRDefault="00737FF5" w:rsidP="00737FF5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737FF5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Les résolutions suivantes sont adoptées à l’unanimité :</w:t>
      </w:r>
    </w:p>
    <w:p w:rsidR="00863E86" w:rsidRPr="00737FF5" w:rsidRDefault="00863E86" w:rsidP="00863E86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 w:rsidRPr="00737FF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Résolution n° 1 : Approbation du rapport moral</w:t>
      </w:r>
    </w:p>
    <w:p w:rsidR="00863E86" w:rsidRPr="00311A0A" w:rsidRDefault="00863E86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L’Assemblée générale de la SAIPC,</w:t>
      </w:r>
    </w:p>
    <w:p w:rsidR="00863E86" w:rsidRPr="00311A0A" w:rsidRDefault="00863E86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Ayant pris connaissance du ra</w:t>
      </w:r>
      <w:r w:rsidR="00FA421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pport moral pour l’exercice 2022</w:t>
      </w: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présenté par son président Dominique AUVERLOT,</w:t>
      </w:r>
    </w:p>
    <w:p w:rsidR="00863E86" w:rsidRPr="00311A0A" w:rsidRDefault="00863E86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L’approuve.</w:t>
      </w:r>
    </w:p>
    <w:p w:rsidR="00863E86" w:rsidRPr="00737FF5" w:rsidRDefault="00863E86" w:rsidP="00863E86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 w:rsidRPr="00737FF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Résolution n° 2 : Approbation du rapport financier</w:t>
      </w:r>
    </w:p>
    <w:p w:rsidR="00863E86" w:rsidRPr="00311A0A" w:rsidRDefault="00863E86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L’Assemblée générale de la SAIPC,</w:t>
      </w:r>
    </w:p>
    <w:p w:rsidR="00863E86" w:rsidRPr="00311A0A" w:rsidRDefault="00863E86" w:rsidP="00FC08A1">
      <w:pPr>
        <w:rPr>
          <w:lang w:eastAsia="zh-CN"/>
        </w:rPr>
      </w:pPr>
      <w:r w:rsidRPr="00311A0A">
        <w:rPr>
          <w:lang w:eastAsia="zh-CN"/>
        </w:rPr>
        <w:t>Ayant pris connaissance du ra</w:t>
      </w:r>
      <w:r w:rsidR="006E0D69" w:rsidRPr="00311A0A">
        <w:rPr>
          <w:lang w:eastAsia="zh-CN"/>
        </w:rPr>
        <w:t xml:space="preserve">pport </w:t>
      </w:r>
      <w:r w:rsidR="00FA4212">
        <w:rPr>
          <w:lang w:eastAsia="zh-CN"/>
        </w:rPr>
        <w:t>financier pour l’exercice 2022</w:t>
      </w:r>
      <w:r w:rsidRPr="00311A0A">
        <w:rPr>
          <w:lang w:eastAsia="zh-CN"/>
        </w:rPr>
        <w:t xml:space="preserve"> présenté par son trésorier Marc Sandrin,</w:t>
      </w:r>
    </w:p>
    <w:p w:rsidR="00863E86" w:rsidRPr="00311A0A" w:rsidRDefault="00863E86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L’approuve,</w:t>
      </w:r>
    </w:p>
    <w:p w:rsidR="00863E86" w:rsidRPr="00311A0A" w:rsidRDefault="00863E86" w:rsidP="000E5856">
      <w:pP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Et décide d’affecter le résultat de l’exercice au poste report à nouveau du fonds de dotation.</w:t>
      </w:r>
    </w:p>
    <w:p w:rsidR="000E5856" w:rsidRDefault="00863E86" w:rsidP="00863E86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 w:rsidRPr="00737FF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Résolution n° 3 : </w:t>
      </w:r>
    </w:p>
    <w:p w:rsidR="000E5856" w:rsidRDefault="000E5856" w:rsidP="000E5856">
      <w:pPr>
        <w:keepNext/>
        <w:keepLines/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L’Assemblée générale de la SAIPC </w:t>
      </w:r>
      <w:r w:rsidRPr="000E5856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mandate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le </w:t>
      </w:r>
      <w:r w:rsidRPr="000E5856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trésorier de la SAIPC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,</w:t>
      </w:r>
      <w:r w:rsidRPr="000E5856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Marc SANDRIN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,</w:t>
      </w:r>
      <w:r w:rsidRPr="000E5856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pour transférer le compte postal de l'association SAIPC du centre financier de Paris qui gère actuellement le compte vers le bureau de poste de Chatou (Yvelines) po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ur bénéficier de frais réduits.</w:t>
      </w:r>
    </w:p>
    <w:p w:rsidR="00863E86" w:rsidRPr="00737FF5" w:rsidRDefault="000E5856" w:rsidP="00863E86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Résolution n°4 : </w:t>
      </w:r>
      <w:r w:rsidR="00863E86" w:rsidRPr="00737FF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Quitus au Conseil d’administration</w:t>
      </w:r>
    </w:p>
    <w:p w:rsidR="00863E86" w:rsidRPr="00311A0A" w:rsidRDefault="00863E86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L’Assemblée générale de la SAIPC</w:t>
      </w:r>
    </w:p>
    <w:p w:rsidR="00863E86" w:rsidRPr="00311A0A" w:rsidRDefault="00863E86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Donne, pour l’e</w:t>
      </w:r>
      <w:r w:rsidR="00FA421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xercice clos au 31 décembre 2022</w:t>
      </w: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, quitus de leur gestion à tous les membres du CA. </w:t>
      </w:r>
    </w:p>
    <w:p w:rsidR="00863E86" w:rsidRDefault="00863E86" w:rsidP="00863E86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Résolut</w:t>
      </w:r>
      <w:r w:rsidR="000E585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ion n° 5</w:t>
      </w:r>
      <w:r w:rsidR="00FA4212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 : Projet de budget 2023</w:t>
      </w:r>
    </w:p>
    <w:p w:rsidR="00863E86" w:rsidRPr="00311A0A" w:rsidRDefault="00863E86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L’Assemblée générale de la SAIPC,</w:t>
      </w:r>
    </w:p>
    <w:p w:rsidR="00863E86" w:rsidRPr="00311A0A" w:rsidRDefault="00346D6A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A</w:t>
      </w:r>
      <w:r w:rsidR="00863E86"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yant pris connaissan</w:t>
      </w:r>
      <w:r w:rsidR="00FA421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ce du projet de budget pour 2023</w:t>
      </w:r>
      <w:r w:rsidR="00863E86"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présenté par son trésorier Marc Sandrin,</w:t>
      </w:r>
    </w:p>
    <w:p w:rsidR="00863E86" w:rsidRPr="00311A0A" w:rsidRDefault="00346D6A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L’</w:t>
      </w:r>
      <w:r w:rsidR="00863E86"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approuve.</w:t>
      </w:r>
    </w:p>
    <w:p w:rsidR="00863E86" w:rsidRDefault="00863E86" w:rsidP="00863E86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lastRenderedPageBreak/>
        <w:t>Ré</w:t>
      </w:r>
      <w:r w:rsidR="000E585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solution n° 6</w:t>
      </w:r>
      <w:r w:rsidR="00FA4212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 : Cotisations 2023 et 2024</w:t>
      </w:r>
    </w:p>
    <w:p w:rsidR="00D95117" w:rsidRDefault="00863E86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L’Assemblée générale de la SA</w:t>
      </w:r>
      <w:r w:rsidR="00FC08A1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IPC décide de maintenir en </w:t>
      </w:r>
      <w:r w:rsidR="00FA421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2023 et 2024</w:t>
      </w:r>
      <w:r w:rsidR="00F0243B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</w:t>
      </w: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les montants actuels de la cotisation annuelle, soit 30 € pour les camarades en activité, et 15 € pour les camarades en retraite ou ayant moins de trois ans d'ancienneté.</w:t>
      </w:r>
    </w:p>
    <w:p w:rsidR="00D95117" w:rsidRDefault="00D95117" w:rsidP="00D9511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Résolution n° </w:t>
      </w:r>
      <w:r w:rsidR="000E585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7</w:t>
      </w:r>
      <w:r w:rsidR="00D24E0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 : Communication de la SAIPC</w:t>
      </w:r>
    </w:p>
    <w:p w:rsidR="00D95117" w:rsidRDefault="00D95117" w:rsidP="006B351F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L’Assemblée générale de la SAIPC </w:t>
      </w:r>
      <w:r w:rsidR="00BA4543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décide de mandater </w:t>
      </w:r>
      <w:r w:rsidR="00E511D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Marc SANDRIN et Boris </w:t>
      </w:r>
      <w:r w:rsidR="00E511D2" w:rsidRPr="00E511D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ROWENCZYN</w:t>
      </w:r>
      <w:r w:rsidR="00BA4543" w:rsidRPr="00BA4543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</w:t>
      </w:r>
      <w:r w:rsidR="00E511D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pour accroître la communication de la SAIPC ainsi que sa notoriété.</w:t>
      </w:r>
      <w:r w:rsidR="006B351F" w:rsidRPr="006B351F">
        <w:t xml:space="preserve"> </w:t>
      </w:r>
      <w:r w:rsidR="006B351F">
        <w:t xml:space="preserve">Elle demande en particulier à </w:t>
      </w:r>
      <w:r w:rsidR="006B351F" w:rsidRPr="006B351F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Marc Sandrin et Boris </w:t>
      </w:r>
      <w:r w:rsidR="006B351F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Rowenczyn d’étudier la possibilité d’encourager des projets humanitaires menés par les élèves de l’école. </w:t>
      </w:r>
    </w:p>
    <w:p w:rsidR="000E5856" w:rsidRDefault="000E5856" w:rsidP="006B351F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0E5856" w:rsidRPr="000E5856" w:rsidRDefault="000E5856" w:rsidP="006B351F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 w:rsidRPr="000E585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Résolution n°8 : Dissolution de l’AEOI</w:t>
      </w:r>
    </w:p>
    <w:p w:rsidR="000E5856" w:rsidRDefault="000E5856" w:rsidP="006B351F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L’Assemblée générale de la SAIPC ayant pris connaissance des projets de dissolution de l’AEOI et de sa volonté de faire appel à l’ACM et à la SA</w:t>
      </w:r>
      <w:r w:rsidR="00E10474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IPC pour poursuivre son action, prend acte  d</w:t>
      </w:r>
      <w:bookmarkStart w:id="0" w:name="_GoBack"/>
      <w:bookmarkEnd w:id="0"/>
      <w:r w:rsidR="002F500F" w:rsidRPr="002F500F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es termes de la convention d’attribution du boni de liquidation de l’Amicale d’entraide aux orphelins des ingénieurs des ponts, des eaux et des forêts et des ingénieurs des mines (AEOI)</w:t>
      </w:r>
      <w:r w:rsidR="002F500F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dans toutes leurs dispositions</w:t>
      </w:r>
      <w:r w:rsidR="00FA421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et s’engage</w:t>
      </w:r>
      <w:r w:rsidR="00FA4212" w:rsidRPr="00FA421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à honorer les obligations qu’elle contient.</w:t>
      </w:r>
    </w:p>
    <w:p w:rsidR="009C1446" w:rsidRDefault="009C1446" w:rsidP="00863E86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2B5E34" w:rsidRPr="00737FF5" w:rsidRDefault="002B5E34" w:rsidP="00FC08A1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Résolution n° </w:t>
      </w:r>
      <w:r w:rsidR="004A3BC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9</w:t>
      </w:r>
      <w:r w:rsidRPr="00737FF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 : Composition du CA de la SAIPC </w:t>
      </w:r>
    </w:p>
    <w:p w:rsidR="009E592E" w:rsidRPr="00FA4212" w:rsidRDefault="00795D89" w:rsidP="00FA4212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A l’unanimité, l</w:t>
      </w:r>
      <w:r w:rsidR="00195690" w:rsidRPr="00195690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’Ass</w:t>
      </w:r>
      <w:r w:rsidR="00FC08A1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emblée</w:t>
      </w:r>
      <w:r w:rsidR="00FA421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générale de la SAIPC </w:t>
      </w:r>
      <w:r w:rsidR="009E592E" w:rsidRPr="00FA4212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retient comme nouveau membre du CA :</w:t>
      </w:r>
    </w:p>
    <w:p w:rsidR="005276A1" w:rsidRPr="00FA4212" w:rsidRDefault="00FA4212" w:rsidP="00FA4212">
      <w:pPr>
        <w:pStyle w:val="Paragraphedeliste"/>
        <w:numPr>
          <w:ilvl w:val="0"/>
          <w:numId w:val="7"/>
        </w:num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xxx</w:t>
      </w:r>
    </w:p>
    <w:p w:rsidR="004E18DF" w:rsidRDefault="004E18DF" w:rsidP="004E18DF">
      <w:pPr>
        <w:pStyle w:val="Paragraphedeliste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2B5E34" w:rsidRPr="00311A0A" w:rsidRDefault="002B5E34" w:rsidP="002B5E34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2B5E34" w:rsidRPr="003361E8" w:rsidRDefault="002B5E34" w:rsidP="002B5E34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 w:rsidRPr="003361E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Résolution n° </w:t>
      </w:r>
      <w:r w:rsidR="004A3BC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10</w:t>
      </w:r>
      <w:r w:rsidRPr="003361E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 :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 Habilitation à faire fonctionner les comptes bancaires </w:t>
      </w:r>
    </w:p>
    <w:p w:rsidR="002B5E34" w:rsidRPr="00311A0A" w:rsidRDefault="004E18DF" w:rsidP="002B5E34">
      <w:p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L’Assemblée générale</w:t>
      </w:r>
      <w:r w:rsidR="002B5E34"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désigne comme membres habilités à faire fonctionner les comptes bancaires, avec faculté d’agir séparément :</w:t>
      </w:r>
    </w:p>
    <w:p w:rsidR="002B5E34" w:rsidRPr="00311A0A" w:rsidRDefault="002B5E34" w:rsidP="002B5E34">
      <w:pPr>
        <w:pStyle w:val="Paragraphedeliste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Son président : Dominique AUVERLOT</w:t>
      </w:r>
    </w:p>
    <w:p w:rsidR="002B5E34" w:rsidRDefault="002B5E34" w:rsidP="002B5E34">
      <w:pPr>
        <w:pStyle w:val="Paragraphedeliste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Son trésorier : Marc SANDRIN,</w:t>
      </w:r>
    </w:p>
    <w:p w:rsidR="006F792F" w:rsidRPr="00311A0A" w:rsidRDefault="00D24E08" w:rsidP="002B5E34">
      <w:pPr>
        <w:pStyle w:val="Paragraphedeliste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Son secrétaire : </w:t>
      </w:r>
    </w:p>
    <w:p w:rsidR="002B5E34" w:rsidRPr="00311A0A" w:rsidRDefault="002B5E34" w:rsidP="002B5E34">
      <w:pPr>
        <w:pStyle w:val="Paragraphedeliste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Bernard LAPEYRE.</w:t>
      </w:r>
    </w:p>
    <w:p w:rsidR="00863E86" w:rsidRPr="00737FF5" w:rsidRDefault="00863E86" w:rsidP="00863E86">
      <w:pPr>
        <w:jc w:val="both"/>
        <w:rPr>
          <w:rFonts w:eastAsiaTheme="minorEastAsia"/>
          <w:lang w:eastAsia="zh-CN"/>
        </w:rPr>
      </w:pPr>
    </w:p>
    <w:p w:rsidR="00863E86" w:rsidRPr="00737FF5" w:rsidRDefault="00863E86" w:rsidP="00863E8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</w:pPr>
      <w:r w:rsidRPr="00737FF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Résolution n° </w:t>
      </w:r>
      <w:r w:rsidR="00D9511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>10</w:t>
      </w:r>
      <w:r w:rsidRPr="00737FF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zh-CN"/>
        </w:rPr>
        <w:t xml:space="preserve"> : Application des présentes résolutions </w:t>
      </w:r>
    </w:p>
    <w:p w:rsidR="009A0F97" w:rsidRPr="00311A0A" w:rsidRDefault="00795D89" w:rsidP="006E0D69">
      <w:pPr>
        <w:ind w:right="-20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L'A</w:t>
      </w:r>
      <w:r w:rsidR="00863E86"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ssemblée donne tous pouvoirs au porteur d'un original, d'une copie ou d'un extrait du procès-verbal de la présente assemblée en vue de l'accomplissement de tous dépôts, formalités légales de publicité ou autres.</w:t>
      </w:r>
    </w:p>
    <w:p w:rsidR="009A0F97" w:rsidRPr="00311A0A" w:rsidRDefault="009A0F97" w:rsidP="009A0F97">
      <w:pPr>
        <w:ind w:right="-20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9A0F97" w:rsidRDefault="009A0F97" w:rsidP="009A0F97">
      <w:pPr>
        <w:ind w:right="-20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0E5856" w:rsidRPr="00311A0A" w:rsidRDefault="000E5856" w:rsidP="009A0F97">
      <w:pPr>
        <w:ind w:right="-20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9A0F97" w:rsidRPr="00311A0A" w:rsidRDefault="009C08D3" w:rsidP="009A0F97">
      <w:pPr>
        <w:ind w:right="-20" w:firstLine="708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</w:t>
      </w:r>
      <w:r w:rsidR="000E5856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e  T</w:t>
      </w:r>
      <w:r w:rsidR="00D24E08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résorier</w:t>
      </w:r>
      <w:r w:rsidR="00FE7F40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ab/>
      </w:r>
      <w:r w:rsidR="00FE7F40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ab/>
      </w:r>
      <w:r w:rsidR="00FE7F40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ab/>
      </w:r>
      <w:r w:rsidR="00FE7F40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ab/>
      </w:r>
      <w:r w:rsidR="00FE7F40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ab/>
      </w:r>
      <w:r w:rsidR="00FE7F40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ab/>
      </w:r>
      <w:r w:rsidR="000E5856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Le P</w:t>
      </w:r>
      <w:r w:rsidR="009A0F97"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résident</w:t>
      </w:r>
    </w:p>
    <w:p w:rsidR="009A0F97" w:rsidRPr="00311A0A" w:rsidRDefault="009A0F97" w:rsidP="009A0F97">
      <w:pPr>
        <w:ind w:right="-20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9A0F97" w:rsidRPr="00311A0A" w:rsidRDefault="009A0F97" w:rsidP="009A0F97">
      <w:pPr>
        <w:ind w:right="-20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9A0F97" w:rsidRPr="00311A0A" w:rsidRDefault="009A0F97" w:rsidP="009A0F97">
      <w:pPr>
        <w:ind w:right="-20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9A0F97" w:rsidRPr="00311A0A" w:rsidRDefault="009A0F97" w:rsidP="009A0F97">
      <w:pPr>
        <w:ind w:right="-20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9A0F97" w:rsidRPr="00311A0A" w:rsidRDefault="009A0F97" w:rsidP="009A0F97">
      <w:pPr>
        <w:ind w:right="-20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</w:p>
    <w:p w:rsidR="009B2324" w:rsidRDefault="00D24E08" w:rsidP="004A3BC5">
      <w:pPr>
        <w:ind w:right="-20"/>
        <w:rPr>
          <w:rFonts w:ascii="Arial" w:hAnsi="Arial" w:cs="Arial"/>
          <w:color w:val="943634" w:themeColor="accent2" w:themeShade="BF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           </w:t>
      </w:r>
      <w:r w:rsidR="009D29F3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Marc Sandrin</w:t>
      </w:r>
      <w:r w:rsidR="0098440C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  </w:t>
      </w:r>
      <w:r w:rsidR="009D29F3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                                             </w:t>
      </w:r>
      <w:r w:rsidR="009A0F97"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ab/>
      </w:r>
      <w:r w:rsidR="0098440C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 xml:space="preserve">             </w:t>
      </w:r>
      <w:r w:rsidR="009D29F3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>Dominique Auverlot</w:t>
      </w:r>
      <w:r w:rsidR="009A0F97" w:rsidRPr="00311A0A"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  <w:tab/>
      </w:r>
    </w:p>
    <w:p w:rsidR="005E3324" w:rsidRPr="00A152BF" w:rsidRDefault="005E3324" w:rsidP="005E3324">
      <w:pPr>
        <w:pStyle w:val="Sansinterligne"/>
        <w:rPr>
          <w:rFonts w:ascii="Tahoma" w:hAnsi="Tahoma" w:cs="Tahoma"/>
          <w:color w:val="404040" w:themeColor="text1" w:themeTint="BF"/>
          <w:sz w:val="20"/>
          <w:szCs w:val="20"/>
        </w:rPr>
      </w:pPr>
    </w:p>
    <w:sectPr w:rsidR="005E3324" w:rsidRPr="00A152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4D" w:rsidRDefault="005C3A4D" w:rsidP="009B2324">
      <w:r>
        <w:separator/>
      </w:r>
    </w:p>
  </w:endnote>
  <w:endnote w:type="continuationSeparator" w:id="0">
    <w:p w:rsidR="005C3A4D" w:rsidRDefault="005C3A4D" w:rsidP="009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24" w:rsidRPr="00A152BF" w:rsidRDefault="009B2324" w:rsidP="009B2324">
    <w:pPr>
      <w:pStyle w:val="Sansinterligne"/>
      <w:rPr>
        <w:rFonts w:ascii="Tahoma" w:hAnsi="Tahoma" w:cs="Tahoma"/>
        <w:color w:val="595959" w:themeColor="text1" w:themeTint="A6"/>
        <w:sz w:val="20"/>
        <w:szCs w:val="20"/>
      </w:rPr>
    </w:pPr>
    <w:r w:rsidRPr="00A152BF">
      <w:rPr>
        <w:rFonts w:ascii="Tahoma" w:hAnsi="Tahoma" w:cs="Tahoma"/>
        <w:color w:val="595959" w:themeColor="text1" w:themeTint="A6"/>
        <w:sz w:val="20"/>
        <w:szCs w:val="20"/>
      </w:rPr>
      <w:t>Société amicale des ingénieurs des ponts et chaussées</w:t>
    </w:r>
  </w:p>
  <w:p w:rsidR="009B2324" w:rsidRDefault="0057738B" w:rsidP="009B2324">
    <w:pPr>
      <w:pStyle w:val="Sansinterligne"/>
      <w:rPr>
        <w:rFonts w:ascii="Tahoma" w:hAnsi="Tahoma" w:cs="Tahoma"/>
        <w:color w:val="595959" w:themeColor="text1" w:themeTint="A6"/>
        <w:sz w:val="20"/>
        <w:szCs w:val="20"/>
      </w:rPr>
    </w:pPr>
    <w:r>
      <w:rPr>
        <w:rFonts w:ascii="Tahoma" w:hAnsi="Tahoma" w:cs="Tahoma"/>
        <w:color w:val="595959" w:themeColor="text1" w:themeTint="A6"/>
        <w:sz w:val="20"/>
        <w:szCs w:val="20"/>
      </w:rPr>
      <w:t>42 rue de Boissière 75116</w:t>
    </w:r>
    <w:r w:rsidR="009B2324">
      <w:rPr>
        <w:rFonts w:ascii="Tahoma" w:hAnsi="Tahoma" w:cs="Tahoma"/>
        <w:color w:val="595959" w:themeColor="text1" w:themeTint="A6"/>
        <w:sz w:val="20"/>
        <w:szCs w:val="20"/>
      </w:rPr>
      <w:t xml:space="preserve"> Paris</w:t>
    </w:r>
  </w:p>
  <w:p w:rsidR="009B2324" w:rsidRDefault="005C3A4D" w:rsidP="009B2324">
    <w:pPr>
      <w:pStyle w:val="Pieddepage"/>
    </w:pPr>
    <w:r>
      <w:rPr>
        <w:rFonts w:ascii="Tahoma" w:hAnsi="Tahoma" w:cs="Tahoma"/>
        <w:color w:val="595959" w:themeColor="text1" w:themeTint="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9B2324" w:rsidRDefault="009B23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4D" w:rsidRDefault="005C3A4D" w:rsidP="009B2324">
      <w:r>
        <w:separator/>
      </w:r>
    </w:p>
  </w:footnote>
  <w:footnote w:type="continuationSeparator" w:id="0">
    <w:p w:rsidR="005C3A4D" w:rsidRDefault="005C3A4D" w:rsidP="009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D81"/>
    <w:multiLevelType w:val="hybridMultilevel"/>
    <w:tmpl w:val="2668E08A"/>
    <w:lvl w:ilvl="0" w:tplc="7A8E02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52ED"/>
    <w:multiLevelType w:val="hybridMultilevel"/>
    <w:tmpl w:val="448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79A8"/>
    <w:multiLevelType w:val="hybridMultilevel"/>
    <w:tmpl w:val="DA766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26D01"/>
    <w:multiLevelType w:val="hybridMultilevel"/>
    <w:tmpl w:val="2000F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6E38"/>
    <w:multiLevelType w:val="hybridMultilevel"/>
    <w:tmpl w:val="01A2ED7C"/>
    <w:lvl w:ilvl="0" w:tplc="1E7AA9C8">
      <w:start w:val="1"/>
      <w:numFmt w:val="bullet"/>
      <w:lvlText w:val="-"/>
      <w:lvlJc w:val="left"/>
      <w:pPr>
        <w:ind w:left="57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D0E30EF"/>
    <w:multiLevelType w:val="hybridMultilevel"/>
    <w:tmpl w:val="F0326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478"/>
    <w:multiLevelType w:val="hybridMultilevel"/>
    <w:tmpl w:val="AD1485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E54ED"/>
    <w:multiLevelType w:val="hybridMultilevel"/>
    <w:tmpl w:val="7D08FD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24"/>
    <w:rsid w:val="0006663C"/>
    <w:rsid w:val="0007579D"/>
    <w:rsid w:val="0008524B"/>
    <w:rsid w:val="000B41AA"/>
    <w:rsid w:val="000E5856"/>
    <w:rsid w:val="000F3053"/>
    <w:rsid w:val="00143FED"/>
    <w:rsid w:val="0018104B"/>
    <w:rsid w:val="00195690"/>
    <w:rsid w:val="001D0812"/>
    <w:rsid w:val="001E7B02"/>
    <w:rsid w:val="002000B5"/>
    <w:rsid w:val="00253229"/>
    <w:rsid w:val="002B5E34"/>
    <w:rsid w:val="002D151E"/>
    <w:rsid w:val="002F500F"/>
    <w:rsid w:val="003042D7"/>
    <w:rsid w:val="00305F13"/>
    <w:rsid w:val="00311A0A"/>
    <w:rsid w:val="00346D6A"/>
    <w:rsid w:val="003A45BC"/>
    <w:rsid w:val="003D4110"/>
    <w:rsid w:val="003D7815"/>
    <w:rsid w:val="00474701"/>
    <w:rsid w:val="004A16E4"/>
    <w:rsid w:val="004A1B07"/>
    <w:rsid w:val="004A3BC5"/>
    <w:rsid w:val="004D4FC4"/>
    <w:rsid w:val="004E18DF"/>
    <w:rsid w:val="004E271C"/>
    <w:rsid w:val="005276A1"/>
    <w:rsid w:val="0057738B"/>
    <w:rsid w:val="005C066F"/>
    <w:rsid w:val="005C3A4D"/>
    <w:rsid w:val="005C4B18"/>
    <w:rsid w:val="005E3324"/>
    <w:rsid w:val="005E4EAC"/>
    <w:rsid w:val="005F1697"/>
    <w:rsid w:val="006A0ACD"/>
    <w:rsid w:val="006B0984"/>
    <w:rsid w:val="006B351F"/>
    <w:rsid w:val="006B5C09"/>
    <w:rsid w:val="006E0D69"/>
    <w:rsid w:val="006F303A"/>
    <w:rsid w:val="006F3D25"/>
    <w:rsid w:val="006F792F"/>
    <w:rsid w:val="00737FF5"/>
    <w:rsid w:val="0076716C"/>
    <w:rsid w:val="00772364"/>
    <w:rsid w:val="0077576B"/>
    <w:rsid w:val="00795D39"/>
    <w:rsid w:val="00795D89"/>
    <w:rsid w:val="00816D49"/>
    <w:rsid w:val="00863E86"/>
    <w:rsid w:val="00894F87"/>
    <w:rsid w:val="008A416F"/>
    <w:rsid w:val="008B752A"/>
    <w:rsid w:val="008C25C4"/>
    <w:rsid w:val="008C4F7B"/>
    <w:rsid w:val="00922480"/>
    <w:rsid w:val="009343A8"/>
    <w:rsid w:val="00943CC1"/>
    <w:rsid w:val="00946216"/>
    <w:rsid w:val="00946493"/>
    <w:rsid w:val="009724D9"/>
    <w:rsid w:val="00982829"/>
    <w:rsid w:val="0098440C"/>
    <w:rsid w:val="0098580A"/>
    <w:rsid w:val="009A0F97"/>
    <w:rsid w:val="009B2324"/>
    <w:rsid w:val="009C08D3"/>
    <w:rsid w:val="009C1446"/>
    <w:rsid w:val="009D29F3"/>
    <w:rsid w:val="009E592E"/>
    <w:rsid w:val="009F2239"/>
    <w:rsid w:val="00A152BF"/>
    <w:rsid w:val="00A74359"/>
    <w:rsid w:val="00A815C4"/>
    <w:rsid w:val="00AA072A"/>
    <w:rsid w:val="00AC3F48"/>
    <w:rsid w:val="00AD00C3"/>
    <w:rsid w:val="00B05F14"/>
    <w:rsid w:val="00B11D22"/>
    <w:rsid w:val="00B1668C"/>
    <w:rsid w:val="00B2101F"/>
    <w:rsid w:val="00B21341"/>
    <w:rsid w:val="00B901E2"/>
    <w:rsid w:val="00BA4543"/>
    <w:rsid w:val="00BC59AB"/>
    <w:rsid w:val="00BD52A7"/>
    <w:rsid w:val="00C169C0"/>
    <w:rsid w:val="00C227B8"/>
    <w:rsid w:val="00C77113"/>
    <w:rsid w:val="00C87700"/>
    <w:rsid w:val="00C96209"/>
    <w:rsid w:val="00CB3C10"/>
    <w:rsid w:val="00CD611E"/>
    <w:rsid w:val="00D03108"/>
    <w:rsid w:val="00D2105A"/>
    <w:rsid w:val="00D24E08"/>
    <w:rsid w:val="00D4189A"/>
    <w:rsid w:val="00D605A4"/>
    <w:rsid w:val="00D62154"/>
    <w:rsid w:val="00D6679B"/>
    <w:rsid w:val="00D95117"/>
    <w:rsid w:val="00DC0532"/>
    <w:rsid w:val="00DD1DB9"/>
    <w:rsid w:val="00DD73D6"/>
    <w:rsid w:val="00E10474"/>
    <w:rsid w:val="00E511D2"/>
    <w:rsid w:val="00E80FE8"/>
    <w:rsid w:val="00EA367C"/>
    <w:rsid w:val="00EB0D0B"/>
    <w:rsid w:val="00EC3935"/>
    <w:rsid w:val="00ED04A3"/>
    <w:rsid w:val="00F0243B"/>
    <w:rsid w:val="00F64B4D"/>
    <w:rsid w:val="00FA4212"/>
    <w:rsid w:val="00FC08A1"/>
    <w:rsid w:val="00FE1076"/>
    <w:rsid w:val="00FE7F40"/>
    <w:rsid w:val="00FF19A2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045A5"/>
  <w15:docId w15:val="{EBAC9668-1CBE-4B17-BF2E-2038190A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32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21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1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210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332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23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324"/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23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324"/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A0F9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210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210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2105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105A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210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37FF5"/>
    <w:pPr>
      <w:spacing w:before="100" w:beforeAutospacing="1" w:after="100" w:afterAutospacing="1"/>
    </w:pPr>
    <w:rPr>
      <w:rFonts w:eastAsiaTheme="minorEastAsia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8" ma:contentTypeDescription="Crée un document." ma:contentTypeScope="" ma:versionID="b5ad629e828352c7fe03a3c844d6c4fa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58490ffaa95b9f32b9140a97c4aa9615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d7c24d3-226c-43af-8423-40d46e506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3f1d6d-c365-45f8-9627-7d2bde1dae3e}" ma:internalName="TaxCatchAll" ma:showField="CatchAllData" ma:web="7fd265a7-d11c-487c-91b9-a6c82b4b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62F62-27C9-471F-8C37-8762CD8A2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AF355-6777-41BB-9981-8EEA25564F6C}"/>
</file>

<file path=customXml/itemProps3.xml><?xml version="1.0" encoding="utf-8"?>
<ds:datastoreItem xmlns:ds="http://schemas.openxmlformats.org/officeDocument/2006/customXml" ds:itemID="{837109AD-F9D8-4CCD-82DB-7616AE333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Adeline</dc:creator>
  <cp:lastModifiedBy>AUVERLOT Dominique</cp:lastModifiedBy>
  <cp:revision>4</cp:revision>
  <cp:lastPrinted>2017-06-22T19:50:00Z</cp:lastPrinted>
  <dcterms:created xsi:type="dcterms:W3CDTF">2023-05-29T16:17:00Z</dcterms:created>
  <dcterms:modified xsi:type="dcterms:W3CDTF">2023-05-30T07:41:00Z</dcterms:modified>
</cp:coreProperties>
</file>